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CC" w:rsidRDefault="00A428CC" w:rsidP="009757DA">
      <w:pPr>
        <w:widowControl w:val="0"/>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bookmarkStart w:id="0" w:name="_GoBack"/>
      <w:bookmarkEnd w:id="0"/>
    </w:p>
    <w:p w:rsidR="00A428CC" w:rsidRDefault="00A428CC" w:rsidP="009757DA">
      <w:pPr>
        <w:widowControl w:val="0"/>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p>
    <w:p w:rsidR="00BF2991" w:rsidRPr="00BF2991" w:rsidRDefault="000B311B" w:rsidP="00BF2991">
      <w:pPr>
        <w:widowControl w:val="0"/>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r>
        <w:rPr>
          <w:rFonts w:ascii="Trebuchet MS" w:hAnsi="Trebuchet MS" w:cs="GoudyOldStyleT-Regular"/>
          <w:noProof/>
          <w:sz w:val="16"/>
          <w:szCs w:val="33"/>
          <w:lang w:eastAsia="en-AU"/>
        </w:rPr>
        <mc:AlternateContent>
          <mc:Choice Requires="wps">
            <w:drawing>
              <wp:anchor distT="0" distB="0" distL="114300" distR="114300" simplePos="0" relativeHeight="251692032" behindDoc="0" locked="0" layoutInCell="1" allowOverlap="1">
                <wp:simplePos x="0" y="0"/>
                <wp:positionH relativeFrom="column">
                  <wp:posOffset>2971800</wp:posOffset>
                </wp:positionH>
                <wp:positionV relativeFrom="paragraph">
                  <wp:posOffset>355600</wp:posOffset>
                </wp:positionV>
                <wp:extent cx="2743200" cy="1143000"/>
                <wp:effectExtent l="0" t="3175" r="0" b="0"/>
                <wp:wrapTight wrapText="bothSides">
                  <wp:wrapPolygon edited="0">
                    <wp:start x="0" y="0"/>
                    <wp:lineTo x="21600" y="0"/>
                    <wp:lineTo x="21600" y="21600"/>
                    <wp:lineTo x="0" y="21600"/>
                    <wp:lineTo x="0" y="0"/>
                  </wp:wrapPolygon>
                </wp:wrapTight>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sz w:val="16"/>
                                <w:szCs w:val="33"/>
                                <w:lang w:val="en-GB"/>
                              </w:rPr>
                              <w:t>PO Box 28, Singleton NSW 2330</w:t>
                            </w:r>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M</w:t>
                            </w:r>
                            <w:r w:rsidRPr="001D17C9">
                              <w:rPr>
                                <w:rFonts w:ascii="Trebuchet MS" w:hAnsi="Trebuchet MS" w:cs="GoudyOldStyleT-Regular"/>
                                <w:sz w:val="16"/>
                                <w:szCs w:val="33"/>
                                <w:lang w:val="en-GB"/>
                              </w:rPr>
                              <w:t xml:space="preserve"> 0427 000 910</w:t>
                            </w:r>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E</w:t>
                            </w:r>
                            <w:r w:rsidRPr="001D17C9">
                              <w:rPr>
                                <w:rFonts w:ascii="Trebuchet MS" w:hAnsi="Trebuchet MS" w:cs="GoudyOldStyleT-Regular"/>
                                <w:sz w:val="16"/>
                                <w:szCs w:val="33"/>
                                <w:lang w:val="en-GB"/>
                              </w:rPr>
                              <w:t xml:space="preserve"> </w:t>
                            </w:r>
                            <w:hyperlink r:id="rId9" w:history="1">
                              <w:r w:rsidRPr="001D17C9">
                                <w:rPr>
                                  <w:rStyle w:val="Hyperlink"/>
                                  <w:rFonts w:ascii="Trebuchet MS" w:hAnsi="Trebuchet MS" w:cs="GoudyOldStyleT-Regular"/>
                                  <w:color w:val="auto"/>
                                  <w:sz w:val="16"/>
                                  <w:szCs w:val="33"/>
                                  <w:u w:val="none"/>
                                  <w:lang w:val="en-GB"/>
                                </w:rPr>
                                <w:t>sally@orbitplanning.com.au</w:t>
                              </w:r>
                            </w:hyperlink>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W</w:t>
                            </w:r>
                            <w:r w:rsidRPr="001D17C9">
                              <w:rPr>
                                <w:rFonts w:ascii="Trebuchet MS" w:hAnsi="Trebuchet MS" w:cs="GoudyOldStyleT-Regular"/>
                                <w:sz w:val="16"/>
                                <w:szCs w:val="33"/>
                                <w:lang w:val="en-GB"/>
                              </w:rPr>
                              <w:t xml:space="preserve"> www.orbitplanning.com.au</w:t>
                            </w:r>
                          </w:p>
                          <w:p w:rsidR="00010BA5" w:rsidRDefault="00010BA5" w:rsidP="00BF2991">
                            <w:r w:rsidRPr="001D17C9">
                              <w:rPr>
                                <w:rFonts w:ascii="Trebuchet MS" w:hAnsi="Trebuchet MS" w:cs="GoudyOldStyleT-Regular"/>
                                <w:b/>
                                <w:sz w:val="16"/>
                                <w:szCs w:val="33"/>
                                <w:lang w:val="en-GB"/>
                              </w:rPr>
                              <w:t>ABN</w:t>
                            </w:r>
                            <w:r w:rsidRPr="001D17C9">
                              <w:rPr>
                                <w:rFonts w:ascii="Trebuchet MS" w:hAnsi="Trebuchet MS" w:cs="GoudyOldStyleT-Regular"/>
                                <w:sz w:val="16"/>
                                <w:szCs w:val="33"/>
                                <w:lang w:val="en-GB"/>
                              </w:rPr>
                              <w:t xml:space="preserve"> 46 484 735 708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34pt;margin-top:28pt;width:3in;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" filled="f" stroked="f">
                <v:textbox inset=",7.2pt,,7.2pt">
                  <w:txbxContent>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sz w:val="16"/>
                          <w:szCs w:val="33"/>
                          <w:lang w:val="en-GB"/>
                        </w:rPr>
                        <w:t>PO Box 28, Singleton NSW 2330</w:t>
                      </w:r>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M</w:t>
                      </w:r>
                      <w:r w:rsidRPr="001D17C9">
                        <w:rPr>
                          <w:rFonts w:ascii="Trebuchet MS" w:hAnsi="Trebuchet MS" w:cs="GoudyOldStyleT-Regular"/>
                          <w:sz w:val="16"/>
                          <w:szCs w:val="33"/>
                          <w:lang w:val="en-GB"/>
                        </w:rPr>
                        <w:t xml:space="preserve"> 0427 000 910</w:t>
                      </w:r>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E</w:t>
                      </w:r>
                      <w:r w:rsidRPr="001D17C9">
                        <w:rPr>
                          <w:rFonts w:ascii="Trebuchet MS" w:hAnsi="Trebuchet MS" w:cs="GoudyOldStyleT-Regular"/>
                          <w:sz w:val="16"/>
                          <w:szCs w:val="33"/>
                          <w:lang w:val="en-GB"/>
                        </w:rPr>
                        <w:t xml:space="preserve"> </w:t>
                      </w:r>
                      <w:hyperlink r:id="rId10" w:history="1">
                        <w:r w:rsidRPr="001D17C9">
                          <w:rPr>
                            <w:rStyle w:val="Hyperlink"/>
                            <w:rFonts w:ascii="Trebuchet MS" w:hAnsi="Trebuchet MS" w:cs="GoudyOldStyleT-Regular"/>
                            <w:color w:val="auto"/>
                            <w:sz w:val="16"/>
                            <w:szCs w:val="33"/>
                            <w:u w:val="none"/>
                            <w:lang w:val="en-GB"/>
                          </w:rPr>
                          <w:t>sally@orbitplanning.com.au</w:t>
                        </w:r>
                      </w:hyperlink>
                    </w:p>
                    <w:p w:rsidR="00010BA5" w:rsidRPr="001D17C9" w:rsidRDefault="00010BA5"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r w:rsidRPr="001D17C9">
                        <w:rPr>
                          <w:rFonts w:ascii="Trebuchet MS" w:hAnsi="Trebuchet MS" w:cs="GoudyOldStyleT-Regular"/>
                          <w:b/>
                          <w:sz w:val="16"/>
                          <w:szCs w:val="33"/>
                          <w:lang w:val="en-GB"/>
                        </w:rPr>
                        <w:t>W</w:t>
                      </w:r>
                      <w:r w:rsidRPr="001D17C9">
                        <w:rPr>
                          <w:rFonts w:ascii="Trebuchet MS" w:hAnsi="Trebuchet MS" w:cs="GoudyOldStyleT-Regular"/>
                          <w:sz w:val="16"/>
                          <w:szCs w:val="33"/>
                          <w:lang w:val="en-GB"/>
                        </w:rPr>
                        <w:t xml:space="preserve"> www.orbitplanning.com.au</w:t>
                      </w:r>
                    </w:p>
                    <w:p w:rsidR="00010BA5" w:rsidRDefault="00010BA5" w:rsidP="00BF2991">
                      <w:r w:rsidRPr="001D17C9">
                        <w:rPr>
                          <w:rFonts w:ascii="Trebuchet MS" w:hAnsi="Trebuchet MS" w:cs="GoudyOldStyleT-Regular"/>
                          <w:b/>
                          <w:sz w:val="16"/>
                          <w:szCs w:val="33"/>
                          <w:lang w:val="en-GB"/>
                        </w:rPr>
                        <w:t>ABN</w:t>
                      </w:r>
                      <w:r w:rsidRPr="001D17C9">
                        <w:rPr>
                          <w:rFonts w:ascii="Trebuchet MS" w:hAnsi="Trebuchet MS" w:cs="GoudyOldStyleT-Regular"/>
                          <w:sz w:val="16"/>
                          <w:szCs w:val="33"/>
                          <w:lang w:val="en-GB"/>
                        </w:rPr>
                        <w:t xml:space="preserve"> 46 484 735 708</w:t>
                      </w:r>
                    </w:p>
                  </w:txbxContent>
                </v:textbox>
                <w10:wrap type="tight"/>
              </v:shape>
            </w:pict>
          </mc:Fallback>
        </mc:AlternateContent>
      </w:r>
      <w:r w:rsidR="00BF2991" w:rsidRPr="00BF2991">
        <w:rPr>
          <w:rFonts w:ascii="Trebuchet MS" w:hAnsi="Trebuchet MS" w:cs="GoudyOldStyleT-Regular"/>
          <w:b/>
          <w:noProof/>
          <w:sz w:val="33"/>
          <w:szCs w:val="33"/>
          <w:lang w:eastAsia="en-AU"/>
        </w:rPr>
        <w:drawing>
          <wp:anchor distT="0" distB="0" distL="114935" distR="114935" simplePos="0" relativeHeight="251691008" behindDoc="0" locked="0" layoutInCell="1" allowOverlap="1">
            <wp:simplePos x="0" y="0"/>
            <wp:positionH relativeFrom="page">
              <wp:posOffset>900430</wp:posOffset>
            </wp:positionH>
            <wp:positionV relativeFrom="page">
              <wp:posOffset>1800225</wp:posOffset>
            </wp:positionV>
            <wp:extent cx="2730500" cy="1041400"/>
            <wp:effectExtent l="25400" t="0" r="0" b="0"/>
            <wp:wrapSquare wrapText="bothSides"/>
            <wp:docPr id="3" name="Picture 3" descr="orb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500" cy="1041400"/>
                    </a:xfrm>
                    <a:prstGeom prst="rect">
                      <a:avLst/>
                    </a:prstGeom>
                  </pic:spPr>
                </pic:pic>
              </a:graphicData>
            </a:graphic>
          </wp:anchor>
        </w:drawing>
      </w:r>
    </w:p>
    <w:p w:rsidR="00A428CC" w:rsidRPr="00BF2991" w:rsidRDefault="00A428CC" w:rsidP="00BF2991">
      <w:pPr>
        <w:widowControl w:val="0"/>
        <w:suppressAutoHyphens/>
        <w:autoSpaceDE w:val="0"/>
        <w:autoSpaceDN w:val="0"/>
        <w:adjustRightInd w:val="0"/>
        <w:spacing w:after="80"/>
        <w:textAlignment w:val="center"/>
        <w:rPr>
          <w:rFonts w:ascii="Trebuchet MS" w:hAnsi="Trebuchet MS" w:cs="GoudyOldStyleT-Regular"/>
          <w:sz w:val="16"/>
          <w:szCs w:val="33"/>
          <w:lang w:val="en-GB"/>
        </w:rPr>
      </w:pPr>
    </w:p>
    <w:p w:rsidR="0034043E" w:rsidRDefault="0034043E" w:rsidP="009757DA">
      <w:pPr>
        <w:widowControl w:val="0"/>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p>
    <w:p w:rsidR="00FD0DF9" w:rsidRPr="00BF2991" w:rsidRDefault="00FD0DF9" w:rsidP="00BF2991">
      <w:pPr>
        <w:widowControl w:val="0"/>
        <w:pBdr>
          <w:top w:val="single" w:sz="4" w:space="1" w:color="auto"/>
        </w:pBdr>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p>
    <w:p w:rsidR="00950E17" w:rsidRPr="00DC0CF8" w:rsidRDefault="006C7B49" w:rsidP="009757DA">
      <w:pPr>
        <w:widowControl w:val="0"/>
        <w:suppressAutoHyphens/>
        <w:autoSpaceDE w:val="0"/>
        <w:autoSpaceDN w:val="0"/>
        <w:adjustRightInd w:val="0"/>
        <w:spacing w:before="57" w:after="0" w:line="320" w:lineRule="atLeast"/>
        <w:textAlignment w:val="center"/>
        <w:rPr>
          <w:rFonts w:ascii="Trebuchet MS" w:hAnsi="Trebuchet MS" w:cs="GoudyOldStyleT-Regular"/>
          <w:b/>
          <w:caps/>
          <w:sz w:val="48"/>
          <w:szCs w:val="33"/>
          <w:lang w:val="en-GB"/>
        </w:rPr>
      </w:pPr>
      <w:r>
        <w:rPr>
          <w:rFonts w:ascii="Trebuchet MS" w:hAnsi="Trebuchet MS" w:cs="GoudyOldStyleT-Regular"/>
          <w:b/>
          <w:caps/>
          <w:sz w:val="48"/>
          <w:szCs w:val="33"/>
          <w:lang w:val="en-GB"/>
        </w:rPr>
        <w:t>Planning Proposal</w:t>
      </w:r>
      <w:r w:rsidR="00BF3781">
        <w:rPr>
          <w:rFonts w:ascii="Trebuchet MS" w:hAnsi="Trebuchet MS" w:cs="GoudyOldStyleT-Regular"/>
          <w:b/>
          <w:caps/>
          <w:sz w:val="48"/>
          <w:szCs w:val="33"/>
          <w:lang w:val="en-GB"/>
        </w:rPr>
        <w:t xml:space="preserve"> </w:t>
      </w:r>
    </w:p>
    <w:p w:rsidR="009757DA" w:rsidRPr="00950E17" w:rsidRDefault="006745D4" w:rsidP="009757DA">
      <w:pPr>
        <w:widowControl w:val="0"/>
        <w:suppressAutoHyphens/>
        <w:autoSpaceDE w:val="0"/>
        <w:autoSpaceDN w:val="0"/>
        <w:adjustRightInd w:val="0"/>
        <w:spacing w:before="57" w:after="0" w:line="320" w:lineRule="atLeast"/>
        <w:textAlignment w:val="center"/>
        <w:rPr>
          <w:rFonts w:ascii="Trebuchet MS" w:hAnsi="Trebuchet MS" w:cs="GoudyOldStyleT-Regular"/>
          <w:b/>
          <w:sz w:val="33"/>
          <w:szCs w:val="33"/>
          <w:lang w:val="en-GB"/>
        </w:rPr>
      </w:pPr>
      <w:r>
        <w:rPr>
          <w:rFonts w:ascii="Trebuchet MS" w:hAnsi="Trebuchet MS" w:cs="GoudyOldStyleT-Regular"/>
          <w:b/>
          <w:sz w:val="33"/>
          <w:szCs w:val="33"/>
          <w:lang w:val="en-GB"/>
        </w:rPr>
        <w:t xml:space="preserve">(Muswellbrook </w:t>
      </w:r>
      <w:r w:rsidR="009757DA" w:rsidRPr="00950E17">
        <w:rPr>
          <w:rFonts w:ascii="Trebuchet MS" w:hAnsi="Trebuchet MS" w:cs="GoudyOldStyleT-Regular"/>
          <w:b/>
          <w:sz w:val="33"/>
          <w:szCs w:val="33"/>
          <w:lang w:val="en-GB"/>
        </w:rPr>
        <w:t xml:space="preserve">LEP </w:t>
      </w:r>
      <w:r>
        <w:rPr>
          <w:rFonts w:ascii="Trebuchet MS" w:hAnsi="Trebuchet MS" w:cs="GoudyOldStyleT-Regular"/>
          <w:b/>
          <w:sz w:val="33"/>
          <w:szCs w:val="33"/>
          <w:lang w:val="en-GB"/>
        </w:rPr>
        <w:t xml:space="preserve">2009 </w:t>
      </w:r>
      <w:r w:rsidR="009757DA" w:rsidRPr="00950E17">
        <w:rPr>
          <w:rFonts w:ascii="Trebuchet MS" w:hAnsi="Trebuchet MS" w:cs="GoudyOldStyleT-Regular"/>
          <w:b/>
          <w:sz w:val="33"/>
          <w:szCs w:val="33"/>
          <w:lang w:val="en-GB"/>
        </w:rPr>
        <w:t>Amendment</w:t>
      </w:r>
      <w:r w:rsidR="00A50264" w:rsidRPr="00950E17">
        <w:rPr>
          <w:rFonts w:ascii="Trebuchet MS" w:hAnsi="Trebuchet MS" w:cs="GoudyOldStyleT-Regular"/>
          <w:b/>
          <w:sz w:val="33"/>
          <w:szCs w:val="33"/>
          <w:lang w:val="en-GB"/>
        </w:rPr>
        <w:t xml:space="preserve"> No. 8</w:t>
      </w:r>
      <w:r>
        <w:rPr>
          <w:rFonts w:ascii="Trebuchet MS" w:hAnsi="Trebuchet MS" w:cs="GoudyOldStyleT-Regular"/>
          <w:b/>
          <w:sz w:val="33"/>
          <w:szCs w:val="33"/>
          <w:lang w:val="en-GB"/>
        </w:rPr>
        <w:t>)</w:t>
      </w:r>
    </w:p>
    <w:p w:rsidR="009757DA" w:rsidRPr="00950E17" w:rsidRDefault="009757DA" w:rsidP="009757DA">
      <w:pPr>
        <w:widowControl w:val="0"/>
        <w:suppressAutoHyphens/>
        <w:autoSpaceDE w:val="0"/>
        <w:autoSpaceDN w:val="0"/>
        <w:adjustRightInd w:val="0"/>
        <w:spacing w:before="340" w:after="0" w:line="300" w:lineRule="atLeast"/>
        <w:textAlignment w:val="center"/>
        <w:rPr>
          <w:rFonts w:ascii="Trebuchet MS" w:hAnsi="Trebuchet MS" w:cs="Goudy-ExtraBold"/>
          <w:b/>
          <w:bCs/>
          <w:sz w:val="28"/>
          <w:szCs w:val="28"/>
          <w:lang w:val="en-GB"/>
        </w:rPr>
      </w:pPr>
      <w:r w:rsidRPr="00950E17">
        <w:rPr>
          <w:rFonts w:ascii="Trebuchet MS" w:hAnsi="Trebuchet MS" w:cs="Goudy-ExtraBold"/>
          <w:b/>
          <w:bCs/>
          <w:sz w:val="28"/>
          <w:szCs w:val="28"/>
          <w:lang w:val="en-GB"/>
        </w:rPr>
        <w:t>Lot 1 DP 323945</w:t>
      </w:r>
      <w:r w:rsidRPr="00950E17">
        <w:rPr>
          <w:rFonts w:ascii="Trebuchet MS" w:hAnsi="Trebuchet MS" w:cs="Goudy-ExtraBold"/>
          <w:b/>
          <w:bCs/>
          <w:sz w:val="28"/>
          <w:szCs w:val="28"/>
          <w:lang w:val="en-GB"/>
        </w:rPr>
        <w:br/>
        <w:t>Yarrawa Road, Denman</w:t>
      </w:r>
      <w:r w:rsidR="00DC0CF8">
        <w:rPr>
          <w:rFonts w:ascii="Trebuchet MS" w:hAnsi="Trebuchet MS" w:cs="Goudy-ExtraBold"/>
          <w:b/>
          <w:bCs/>
          <w:sz w:val="28"/>
          <w:szCs w:val="28"/>
          <w:lang w:val="en-GB"/>
        </w:rPr>
        <w:t>.</w:t>
      </w:r>
    </w:p>
    <w:p w:rsidR="00950E17" w:rsidRDefault="00950E17" w:rsidP="009757DA">
      <w:pPr>
        <w:widowControl w:val="0"/>
        <w:suppressAutoHyphens/>
        <w:autoSpaceDE w:val="0"/>
        <w:autoSpaceDN w:val="0"/>
        <w:adjustRightInd w:val="0"/>
        <w:spacing w:after="0" w:line="288" w:lineRule="auto"/>
        <w:textAlignment w:val="center"/>
        <w:rPr>
          <w:rFonts w:ascii="Trebuchet MS" w:hAnsi="Trebuchet MS" w:cs="BookAntiqua-Bold"/>
          <w:b/>
          <w:bCs/>
          <w:lang w:val="en-US"/>
        </w:rPr>
      </w:pPr>
    </w:p>
    <w:p w:rsidR="00A42F6D" w:rsidRDefault="00A42F6D" w:rsidP="00A42F6D">
      <w:pPr>
        <w:widowControl w:val="0"/>
        <w:suppressAutoHyphens/>
        <w:autoSpaceDE w:val="0"/>
        <w:autoSpaceDN w:val="0"/>
        <w:adjustRightInd w:val="0"/>
        <w:spacing w:after="0" w:line="288" w:lineRule="auto"/>
        <w:textAlignment w:val="center"/>
        <w:rPr>
          <w:rFonts w:ascii="Trebuchet MS" w:hAnsi="Trebuchet MS" w:cs="BookAntiqua-Bold"/>
          <w:bCs/>
          <w:lang w:val="en-US"/>
        </w:rPr>
      </w:pPr>
    </w:p>
    <w:p w:rsidR="00A42F6D" w:rsidRPr="00BF2991" w:rsidRDefault="00A42F6D" w:rsidP="00950E17">
      <w:pPr>
        <w:widowControl w:val="0"/>
        <w:suppressAutoHyphens/>
        <w:autoSpaceDE w:val="0"/>
        <w:autoSpaceDN w:val="0"/>
        <w:adjustRightInd w:val="0"/>
        <w:spacing w:after="0" w:line="288" w:lineRule="auto"/>
        <w:textAlignment w:val="center"/>
        <w:rPr>
          <w:rFonts w:ascii="Trebuchet MS" w:hAnsi="Trebuchet MS" w:cs="BookAntiqua-Bold"/>
          <w:bCs/>
          <w:lang w:val="en-US"/>
        </w:rPr>
      </w:pPr>
      <w:r>
        <w:rPr>
          <w:rFonts w:ascii="Trebuchet MS" w:hAnsi="Trebuchet MS" w:cs="BookAntiqua-Bold"/>
          <w:bCs/>
          <w:lang w:val="en-US"/>
        </w:rPr>
        <w:t>Prepared on behalf of Waebron Pty Ltd</w:t>
      </w:r>
    </w:p>
    <w:p w:rsidR="00DC0CF8" w:rsidRDefault="00DC0CF8" w:rsidP="00950E17">
      <w:pPr>
        <w:widowControl w:val="0"/>
        <w:suppressAutoHyphens/>
        <w:autoSpaceDE w:val="0"/>
        <w:autoSpaceDN w:val="0"/>
        <w:adjustRightInd w:val="0"/>
        <w:spacing w:after="0" w:line="288" w:lineRule="auto"/>
        <w:textAlignment w:val="center"/>
        <w:rPr>
          <w:rFonts w:ascii="Trebuchet MS" w:hAnsi="Trebuchet MS" w:cs="BookAntiqua-Bold"/>
          <w:b/>
          <w:bCs/>
          <w:caps/>
          <w:lang w:val="en-US"/>
        </w:rPr>
      </w:pPr>
    </w:p>
    <w:p w:rsidR="00A428CC" w:rsidRPr="00A428CC" w:rsidRDefault="00010BA5" w:rsidP="00950E17">
      <w:pPr>
        <w:widowControl w:val="0"/>
        <w:suppressAutoHyphens/>
        <w:autoSpaceDE w:val="0"/>
        <w:autoSpaceDN w:val="0"/>
        <w:adjustRightInd w:val="0"/>
        <w:spacing w:after="0" w:line="288" w:lineRule="auto"/>
        <w:textAlignment w:val="center"/>
        <w:rPr>
          <w:rFonts w:ascii="Trebuchet MS" w:hAnsi="Trebuchet MS" w:cs="BookAntiqua-Bold"/>
          <w:b/>
          <w:bCs/>
          <w:caps/>
          <w:lang w:val="en-US"/>
        </w:rPr>
      </w:pPr>
      <w:r>
        <w:rPr>
          <w:rFonts w:ascii="Trebuchet MS" w:hAnsi="Trebuchet MS" w:cs="BookAntiqua-Bold"/>
          <w:b/>
          <w:bCs/>
          <w:lang w:val="en-US"/>
        </w:rPr>
        <w:t xml:space="preserve">December </w:t>
      </w:r>
      <w:r w:rsidR="00773319">
        <w:rPr>
          <w:rFonts w:ascii="Trebuchet MS" w:hAnsi="Trebuchet MS" w:cs="BookAntiqua-Bold"/>
          <w:b/>
          <w:bCs/>
          <w:lang w:val="en-US"/>
        </w:rPr>
        <w:t>2015</w:t>
      </w:r>
      <w:r w:rsidR="00AB207D" w:rsidRPr="00AB207D">
        <w:rPr>
          <w:rFonts w:ascii="Trebuchet MS" w:hAnsi="Trebuchet MS" w:cs="BookAntiqua-Bold"/>
          <w:b/>
          <w:bCs/>
          <w:lang w:val="en-US"/>
        </w:rPr>
        <w:t xml:space="preserve"> </w:t>
      </w:r>
      <w:r w:rsidR="00AB207D">
        <w:rPr>
          <w:rFonts w:ascii="Trebuchet MS" w:hAnsi="Trebuchet MS" w:cs="BookAntiqua-Bold"/>
          <w:b/>
          <w:bCs/>
          <w:lang w:val="en-US"/>
        </w:rPr>
        <w:t xml:space="preserve">(Revision </w:t>
      </w:r>
      <w:r>
        <w:rPr>
          <w:rFonts w:ascii="Trebuchet MS" w:hAnsi="Trebuchet MS" w:cs="BookAntiqua-Bold"/>
          <w:b/>
          <w:bCs/>
          <w:lang w:val="en-US"/>
        </w:rPr>
        <w:t>4</w:t>
      </w:r>
      <w:r w:rsidR="00387C8E" w:rsidRPr="00387C8E">
        <w:rPr>
          <w:rFonts w:ascii="Trebuchet MS" w:hAnsi="Trebuchet MS" w:cs="BookAntiqua-Bold"/>
          <w:b/>
          <w:bCs/>
          <w:lang w:val="en-US"/>
        </w:rPr>
        <w:t>)</w:t>
      </w:r>
    </w:p>
    <w:p w:rsidR="00950E17" w:rsidRPr="000B311B" w:rsidRDefault="00950E17" w:rsidP="00BF2991">
      <w:pPr>
        <w:widowControl w:val="0"/>
        <w:pBdr>
          <w:bottom w:val="single" w:sz="4" w:space="1" w:color="auto"/>
        </w:pBdr>
        <w:suppressAutoHyphens/>
        <w:autoSpaceDE w:val="0"/>
        <w:autoSpaceDN w:val="0"/>
        <w:adjustRightInd w:val="0"/>
        <w:spacing w:after="0" w:line="288" w:lineRule="auto"/>
        <w:textAlignment w:val="center"/>
        <w:rPr>
          <w:rFonts w:ascii="Trebuchet MS" w:hAnsi="Trebuchet MS" w:cs="GoudyOldStyleT-Regular"/>
          <w:b/>
          <w:outline/>
          <w:color w:val="000000"/>
          <w:spacing w:val="-4"/>
          <w:sz w:val="36"/>
          <w:szCs w:val="36"/>
          <w:lang w:val="en-GB"/>
          <w14:textOutline w14:w="9525" w14:cap="flat" w14:cmpd="sng" w14:algn="ctr">
            <w14:solidFill>
              <w14:srgbClr w14:val="000000"/>
            </w14:solidFill>
            <w14:prstDash w14:val="solid"/>
            <w14:round/>
          </w14:textOutline>
          <w14:textFill>
            <w14:noFill/>
          </w14:textFill>
        </w:rPr>
      </w:pPr>
    </w:p>
    <w:p w:rsidR="00DC0CF8" w:rsidRPr="000B311B" w:rsidRDefault="00DC0CF8" w:rsidP="001D17C9">
      <w:pPr>
        <w:widowControl w:val="0"/>
        <w:suppressAutoHyphens/>
        <w:autoSpaceDE w:val="0"/>
        <w:autoSpaceDN w:val="0"/>
        <w:adjustRightInd w:val="0"/>
        <w:spacing w:after="0" w:line="288" w:lineRule="auto"/>
        <w:textAlignment w:val="center"/>
        <w:rPr>
          <w:rFonts w:ascii="Trebuchet MS" w:hAnsi="Trebuchet MS" w:cs="GoudyOldStyleT-Regular"/>
          <w:b/>
          <w:outline/>
          <w:color w:val="000000"/>
          <w:spacing w:val="-4"/>
          <w:sz w:val="36"/>
          <w:szCs w:val="36"/>
          <w:lang w:val="en-GB"/>
          <w14:textOutline w14:w="9525" w14:cap="flat" w14:cmpd="sng" w14:algn="ctr">
            <w14:solidFill>
              <w14:srgbClr w14:val="000000"/>
            </w14:solidFill>
            <w14:prstDash w14:val="solid"/>
            <w14:round/>
          </w14:textOutline>
          <w14:textFill>
            <w14:noFill/>
          </w14:textFill>
        </w:rPr>
      </w:pPr>
    </w:p>
    <w:p w:rsidR="00DC0CF8" w:rsidRDefault="00DC0CF8" w:rsidP="00A428CC">
      <w:pPr>
        <w:widowControl w:val="0"/>
        <w:suppressAutoHyphens/>
        <w:autoSpaceDE w:val="0"/>
        <w:autoSpaceDN w:val="0"/>
        <w:adjustRightInd w:val="0"/>
        <w:spacing w:before="57" w:after="0" w:line="320" w:lineRule="atLeast"/>
        <w:textAlignment w:val="center"/>
        <w:rPr>
          <w:rFonts w:ascii="Trebuchet MS" w:hAnsi="Trebuchet MS" w:cs="GoudyOldStyleT-Regular"/>
          <w:b/>
          <w:sz w:val="14"/>
          <w:szCs w:val="33"/>
          <w:lang w:val="en-GB"/>
        </w:rPr>
      </w:pPr>
    </w:p>
    <w:p w:rsidR="00950E17" w:rsidRPr="000B311B" w:rsidRDefault="00950E17" w:rsidP="00BF2991">
      <w:pPr>
        <w:pBdr>
          <w:bottom w:val="single" w:sz="12" w:space="1" w:color="0F243E" w:themeColor="text2" w:themeShade="80"/>
        </w:pBdr>
        <w:tabs>
          <w:tab w:val="left" w:pos="2834"/>
          <w:tab w:val="center" w:pos="4182"/>
        </w:tabs>
        <w:spacing w:before="120" w:after="0"/>
        <w:rPr>
          <w:rFonts w:ascii="GoudyOldStyleT-Regular" w:hAnsi="GoudyOldStyleT-Regular" w:cs="GoudyOldStyleT-Regular"/>
          <w:b/>
          <w:outline/>
          <w:color w:val="000000"/>
          <w:spacing w:val="-4"/>
          <w:sz w:val="36"/>
          <w:szCs w:val="36"/>
          <w:lang w:val="en-GB"/>
          <w14:textOutline w14:w="9525" w14:cap="flat" w14:cmpd="sng" w14:algn="ctr">
            <w14:solidFill>
              <w14:srgbClr w14:val="000000"/>
            </w14:solidFill>
            <w14:prstDash w14:val="solid"/>
            <w14:round/>
          </w14:textOutline>
          <w14:textFill>
            <w14:noFill/>
          </w14:textFill>
        </w:rPr>
        <w:sectPr w:rsidR="00950E17" w:rsidRPr="000B311B">
          <w:footerReference w:type="even" r:id="rId12"/>
          <w:footerReference w:type="default" r:id="rId13"/>
          <w:footerReference w:type="first" r:id="rId14"/>
          <w:pgSz w:w="11900" w:h="16840"/>
          <w:pgMar w:top="1701" w:right="1418" w:bottom="1701" w:left="1418" w:header="709" w:footer="709" w:gutter="0"/>
          <w:cols w:space="708"/>
          <w:titlePg/>
        </w:sectPr>
      </w:pPr>
    </w:p>
    <w:p w:rsidR="009757DA" w:rsidRPr="008102A2" w:rsidRDefault="00C5403F" w:rsidP="00C5403F">
      <w:pPr>
        <w:pBdr>
          <w:bottom w:val="single" w:sz="12" w:space="1" w:color="0F243E" w:themeColor="text2" w:themeShade="80"/>
        </w:pBdr>
        <w:tabs>
          <w:tab w:val="left" w:pos="2834"/>
          <w:tab w:val="center" w:pos="4182"/>
        </w:tabs>
        <w:spacing w:before="120" w:after="0"/>
        <w:jc w:val="center"/>
        <w:rPr>
          <w:rFonts w:asciiTheme="majorHAnsi" w:eastAsia="Times New Roman" w:hAnsiTheme="majorHAnsi" w:cs="Arial"/>
          <w:b/>
          <w:i/>
          <w:sz w:val="22"/>
          <w:lang w:eastAsia="en-AU"/>
        </w:rPr>
      </w:pPr>
      <w:r w:rsidRPr="008102A2">
        <w:rPr>
          <w:rFonts w:asciiTheme="majorHAnsi" w:eastAsia="Times New Roman" w:hAnsiTheme="majorHAnsi" w:cs="Arial"/>
          <w:b/>
          <w:i/>
          <w:sz w:val="22"/>
          <w:lang w:eastAsia="en-AU"/>
        </w:rPr>
        <w:lastRenderedPageBreak/>
        <w:t>CONTENTS</w:t>
      </w:r>
    </w:p>
    <w:p w:rsidR="00EE3E3C" w:rsidRPr="0090431E" w:rsidRDefault="001819AE" w:rsidP="001819AE">
      <w:pPr>
        <w:tabs>
          <w:tab w:val="left" w:pos="2834"/>
          <w:tab w:val="center" w:pos="4182"/>
        </w:tabs>
        <w:spacing w:before="120" w:after="0"/>
        <w:rPr>
          <w:rFonts w:asciiTheme="majorHAnsi" w:eastAsia="Times New Roman" w:hAnsiTheme="majorHAnsi" w:cs="Arial"/>
          <w:b/>
          <w:i/>
          <w:sz w:val="16"/>
          <w:lang w:eastAsia="en-AU"/>
        </w:rPr>
      </w:pP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r>
      <w:r>
        <w:rPr>
          <w:rFonts w:asciiTheme="majorHAnsi" w:eastAsia="Times New Roman" w:hAnsiTheme="majorHAnsi" w:cs="Arial"/>
          <w:b/>
          <w:i/>
          <w:sz w:val="16"/>
          <w:lang w:eastAsia="en-AU"/>
        </w:rPr>
        <w:tab/>
        <w:t xml:space="preserve">          </w:t>
      </w:r>
      <w:r w:rsidR="00C5403F" w:rsidRPr="0090431E">
        <w:rPr>
          <w:rFonts w:asciiTheme="majorHAnsi" w:eastAsia="Times New Roman" w:hAnsiTheme="majorHAnsi" w:cs="Arial"/>
          <w:b/>
          <w:i/>
          <w:sz w:val="16"/>
          <w:lang w:eastAsia="en-AU"/>
        </w:rPr>
        <w:t>Page No.</w:t>
      </w:r>
    </w:p>
    <w:p w:rsidR="00C5403F" w:rsidRPr="008102A2" w:rsidRDefault="00C5403F" w:rsidP="00EE3E3C">
      <w:pPr>
        <w:tabs>
          <w:tab w:val="left" w:pos="2834"/>
          <w:tab w:val="center" w:pos="4182"/>
        </w:tabs>
        <w:spacing w:before="120" w:after="0"/>
        <w:ind w:left="7200"/>
        <w:jc w:val="right"/>
        <w:rPr>
          <w:rFonts w:asciiTheme="majorHAnsi" w:eastAsia="Times New Roman" w:hAnsiTheme="majorHAnsi" w:cs="Arial"/>
          <w:b/>
          <w:i/>
          <w:sz w:val="2"/>
          <w:lang w:eastAsia="en-AU"/>
        </w:rPr>
      </w:pPr>
    </w:p>
    <w:p w:rsidR="009757DA" w:rsidRPr="00D02481" w:rsidRDefault="0034043E" w:rsidP="008102A2">
      <w:pPr>
        <w:pStyle w:val="ListParagraph"/>
        <w:numPr>
          <w:ilvl w:val="0"/>
          <w:numId w:val="29"/>
        </w:numPr>
        <w:tabs>
          <w:tab w:val="left" w:pos="709"/>
          <w:tab w:val="left" w:pos="1418"/>
          <w:tab w:val="left" w:pos="2268"/>
          <w:tab w:val="left" w:pos="8039"/>
          <w:tab w:val="center" w:pos="8364"/>
        </w:tabs>
        <w:spacing w:before="120" w:after="0" w:line="360" w:lineRule="auto"/>
        <w:contextualSpacing w:val="0"/>
        <w:rPr>
          <w:rFonts w:asciiTheme="majorHAnsi" w:eastAsia="Times New Roman" w:hAnsiTheme="majorHAnsi" w:cs="Arial"/>
          <w:b/>
          <w:sz w:val="22"/>
          <w:szCs w:val="22"/>
          <w:lang w:eastAsia="en-AU"/>
        </w:rPr>
      </w:pPr>
      <w:r w:rsidRPr="00D02481">
        <w:rPr>
          <w:rFonts w:asciiTheme="majorHAnsi" w:eastAsia="Times New Roman" w:hAnsiTheme="majorHAnsi" w:cs="Arial"/>
          <w:b/>
          <w:sz w:val="22"/>
          <w:szCs w:val="22"/>
          <w:lang w:eastAsia="en-AU"/>
        </w:rPr>
        <w:t>Introduction</w:t>
      </w:r>
      <w:r w:rsidR="001819AE" w:rsidRPr="00D02481">
        <w:rPr>
          <w:rFonts w:asciiTheme="majorHAnsi" w:eastAsia="Times New Roman" w:hAnsiTheme="majorHAnsi" w:cs="Arial"/>
          <w:b/>
          <w:sz w:val="22"/>
          <w:szCs w:val="22"/>
          <w:lang w:eastAsia="en-AU"/>
        </w:rPr>
        <w:tab/>
      </w:r>
      <w:r w:rsidR="001819AE" w:rsidRPr="00D02481">
        <w:rPr>
          <w:rFonts w:asciiTheme="majorHAnsi" w:eastAsia="Times New Roman" w:hAnsiTheme="majorHAnsi" w:cs="Arial"/>
          <w:b/>
          <w:sz w:val="22"/>
          <w:szCs w:val="22"/>
          <w:lang w:eastAsia="en-AU"/>
        </w:rPr>
        <w:tab/>
        <w:t xml:space="preserve"> </w:t>
      </w:r>
      <w:r w:rsidR="00184F89" w:rsidRPr="00D02481">
        <w:rPr>
          <w:rFonts w:asciiTheme="majorHAnsi" w:eastAsia="Times New Roman" w:hAnsiTheme="majorHAnsi" w:cs="Arial"/>
          <w:b/>
          <w:sz w:val="22"/>
          <w:szCs w:val="22"/>
          <w:lang w:eastAsia="en-AU"/>
        </w:rPr>
        <w:fldChar w:fldCharType="begin"/>
      </w:r>
      <w:r w:rsidR="001819AE" w:rsidRPr="00D02481">
        <w:rPr>
          <w:rFonts w:asciiTheme="majorHAnsi" w:eastAsia="Times New Roman" w:hAnsiTheme="majorHAnsi" w:cs="Arial"/>
          <w:b/>
          <w:sz w:val="22"/>
          <w:szCs w:val="22"/>
          <w:lang w:eastAsia="en-AU"/>
        </w:rPr>
        <w:instrText xml:space="preserve"> PAGEREF intro_1 \h </w:instrText>
      </w:r>
      <w:r w:rsidR="00184F89" w:rsidRPr="00D02481">
        <w:rPr>
          <w:rFonts w:asciiTheme="majorHAnsi" w:eastAsia="Times New Roman" w:hAnsiTheme="majorHAnsi" w:cs="Arial"/>
          <w:b/>
          <w:sz w:val="22"/>
          <w:szCs w:val="22"/>
          <w:lang w:eastAsia="en-AU"/>
        </w:rPr>
      </w:r>
      <w:r w:rsidR="00184F89" w:rsidRPr="00D02481">
        <w:rPr>
          <w:rFonts w:asciiTheme="majorHAnsi" w:eastAsia="Times New Roman" w:hAnsiTheme="majorHAnsi" w:cs="Arial"/>
          <w:b/>
          <w:sz w:val="22"/>
          <w:szCs w:val="22"/>
          <w:lang w:eastAsia="en-AU"/>
        </w:rPr>
        <w:fldChar w:fldCharType="separate"/>
      </w:r>
      <w:r w:rsidR="00AA3466">
        <w:rPr>
          <w:rFonts w:asciiTheme="majorHAnsi" w:eastAsia="Times New Roman" w:hAnsiTheme="majorHAnsi" w:cs="Arial"/>
          <w:b/>
          <w:noProof/>
          <w:sz w:val="22"/>
          <w:szCs w:val="22"/>
          <w:lang w:eastAsia="en-AU"/>
        </w:rPr>
        <w:t>3</w:t>
      </w:r>
      <w:r w:rsidR="00184F89" w:rsidRPr="00D02481">
        <w:rPr>
          <w:rFonts w:asciiTheme="majorHAnsi" w:eastAsia="Times New Roman" w:hAnsiTheme="majorHAnsi" w:cs="Arial"/>
          <w:b/>
          <w:sz w:val="22"/>
          <w:szCs w:val="22"/>
          <w:lang w:eastAsia="en-AU"/>
        </w:rPr>
        <w:fldChar w:fldCharType="end"/>
      </w:r>
    </w:p>
    <w:p w:rsidR="009757DA" w:rsidRPr="00D02481" w:rsidRDefault="009757DA" w:rsidP="008102A2">
      <w:pPr>
        <w:pStyle w:val="ListParagraph"/>
        <w:numPr>
          <w:ilvl w:val="0"/>
          <w:numId w:val="29"/>
        </w:numPr>
        <w:tabs>
          <w:tab w:val="left" w:pos="709"/>
          <w:tab w:val="left" w:pos="1418"/>
          <w:tab w:val="left" w:pos="2268"/>
          <w:tab w:val="center" w:pos="4182"/>
          <w:tab w:val="left" w:pos="8039"/>
          <w:tab w:val="center" w:pos="8364"/>
        </w:tabs>
        <w:spacing w:before="120" w:after="0" w:line="360" w:lineRule="auto"/>
        <w:contextualSpacing w:val="0"/>
        <w:rPr>
          <w:rFonts w:asciiTheme="majorHAnsi" w:eastAsia="Times New Roman" w:hAnsiTheme="majorHAnsi" w:cs="Arial"/>
          <w:b/>
          <w:sz w:val="22"/>
          <w:szCs w:val="22"/>
          <w:lang w:eastAsia="en-AU"/>
        </w:rPr>
      </w:pPr>
      <w:r w:rsidRPr="00D02481">
        <w:rPr>
          <w:rFonts w:asciiTheme="majorHAnsi" w:eastAsia="Times New Roman" w:hAnsiTheme="majorHAnsi" w:cs="Arial"/>
          <w:b/>
          <w:sz w:val="22"/>
          <w:szCs w:val="22"/>
          <w:lang w:eastAsia="en-AU"/>
        </w:rPr>
        <w:t>Site Description</w:t>
      </w:r>
      <w:r w:rsidR="001819AE" w:rsidRPr="00D02481">
        <w:rPr>
          <w:rFonts w:asciiTheme="majorHAnsi" w:eastAsia="Times New Roman" w:hAnsiTheme="majorHAnsi" w:cs="Arial"/>
          <w:b/>
          <w:sz w:val="22"/>
          <w:szCs w:val="22"/>
          <w:lang w:eastAsia="en-AU"/>
        </w:rPr>
        <w:tab/>
      </w:r>
      <w:r w:rsidR="001819AE" w:rsidRPr="00D02481">
        <w:rPr>
          <w:rFonts w:asciiTheme="majorHAnsi" w:eastAsia="Times New Roman" w:hAnsiTheme="majorHAnsi" w:cs="Arial"/>
          <w:b/>
          <w:sz w:val="22"/>
          <w:szCs w:val="22"/>
          <w:lang w:eastAsia="en-AU"/>
        </w:rPr>
        <w:tab/>
      </w:r>
      <w:r w:rsidR="001819AE" w:rsidRPr="00D02481">
        <w:rPr>
          <w:rFonts w:asciiTheme="majorHAnsi" w:eastAsia="Times New Roman" w:hAnsiTheme="majorHAnsi" w:cs="Arial"/>
          <w:b/>
          <w:sz w:val="22"/>
          <w:szCs w:val="22"/>
          <w:lang w:eastAsia="en-AU"/>
        </w:rPr>
        <w:tab/>
        <w:t xml:space="preserve"> </w:t>
      </w:r>
      <w:r w:rsidR="00184F89" w:rsidRPr="00D02481">
        <w:rPr>
          <w:rFonts w:asciiTheme="majorHAnsi" w:eastAsia="Times New Roman" w:hAnsiTheme="majorHAnsi" w:cs="Arial"/>
          <w:b/>
          <w:sz w:val="22"/>
          <w:szCs w:val="22"/>
          <w:lang w:eastAsia="en-AU"/>
        </w:rPr>
        <w:fldChar w:fldCharType="begin"/>
      </w:r>
      <w:r w:rsidR="001819AE" w:rsidRPr="00D02481">
        <w:rPr>
          <w:rFonts w:asciiTheme="majorHAnsi" w:eastAsia="Times New Roman" w:hAnsiTheme="majorHAnsi" w:cs="Arial"/>
          <w:b/>
          <w:sz w:val="22"/>
          <w:szCs w:val="22"/>
          <w:lang w:eastAsia="en-AU"/>
        </w:rPr>
        <w:instrText xml:space="preserve"> PAGEREF site_2 \h </w:instrText>
      </w:r>
      <w:r w:rsidR="00184F89" w:rsidRPr="00D02481">
        <w:rPr>
          <w:rFonts w:asciiTheme="majorHAnsi" w:eastAsia="Times New Roman" w:hAnsiTheme="majorHAnsi" w:cs="Arial"/>
          <w:b/>
          <w:sz w:val="22"/>
          <w:szCs w:val="22"/>
          <w:lang w:eastAsia="en-AU"/>
        </w:rPr>
      </w:r>
      <w:r w:rsidR="00184F89" w:rsidRPr="00D02481">
        <w:rPr>
          <w:rFonts w:asciiTheme="majorHAnsi" w:eastAsia="Times New Roman" w:hAnsiTheme="majorHAnsi" w:cs="Arial"/>
          <w:b/>
          <w:sz w:val="22"/>
          <w:szCs w:val="22"/>
          <w:lang w:eastAsia="en-AU"/>
        </w:rPr>
        <w:fldChar w:fldCharType="separate"/>
      </w:r>
      <w:r w:rsidR="00AA3466">
        <w:rPr>
          <w:rFonts w:asciiTheme="majorHAnsi" w:eastAsia="Times New Roman" w:hAnsiTheme="majorHAnsi" w:cs="Arial"/>
          <w:b/>
          <w:noProof/>
          <w:sz w:val="22"/>
          <w:szCs w:val="22"/>
          <w:lang w:eastAsia="en-AU"/>
        </w:rPr>
        <w:t>3</w:t>
      </w:r>
      <w:r w:rsidR="00184F89" w:rsidRPr="00D02481">
        <w:rPr>
          <w:rFonts w:asciiTheme="majorHAnsi" w:eastAsia="Times New Roman" w:hAnsiTheme="majorHAnsi" w:cs="Arial"/>
          <w:b/>
          <w:sz w:val="22"/>
          <w:szCs w:val="22"/>
          <w:lang w:eastAsia="en-AU"/>
        </w:rPr>
        <w:fldChar w:fldCharType="end"/>
      </w:r>
      <w:r w:rsidR="0034043E" w:rsidRPr="00D02481">
        <w:rPr>
          <w:rFonts w:asciiTheme="majorHAnsi" w:eastAsia="Times New Roman" w:hAnsiTheme="majorHAnsi" w:cs="Arial"/>
          <w:b/>
          <w:sz w:val="22"/>
          <w:szCs w:val="22"/>
          <w:lang w:eastAsia="en-AU"/>
        </w:rPr>
        <w:tab/>
      </w:r>
    </w:p>
    <w:p w:rsidR="009757DA" w:rsidRPr="00D02481" w:rsidRDefault="001819AE" w:rsidP="008102A2">
      <w:pPr>
        <w:pStyle w:val="ListParagraph"/>
        <w:numPr>
          <w:ilvl w:val="0"/>
          <w:numId w:val="29"/>
        </w:numPr>
        <w:tabs>
          <w:tab w:val="left" w:pos="709"/>
          <w:tab w:val="left" w:pos="1418"/>
          <w:tab w:val="left" w:pos="2268"/>
          <w:tab w:val="center" w:pos="4182"/>
          <w:tab w:val="left" w:pos="7989"/>
          <w:tab w:val="center" w:pos="8364"/>
        </w:tabs>
        <w:spacing w:before="120" w:after="0" w:line="360" w:lineRule="auto"/>
        <w:contextualSpacing w:val="0"/>
        <w:rPr>
          <w:rFonts w:asciiTheme="majorHAnsi" w:eastAsia="Times New Roman" w:hAnsiTheme="majorHAnsi" w:cs="Arial"/>
          <w:b/>
          <w:sz w:val="22"/>
          <w:szCs w:val="22"/>
          <w:lang w:eastAsia="en-AU"/>
        </w:rPr>
      </w:pPr>
      <w:r w:rsidRPr="00D02481">
        <w:rPr>
          <w:rFonts w:asciiTheme="majorHAnsi" w:eastAsia="Times New Roman" w:hAnsiTheme="majorHAnsi" w:cs="Arial"/>
          <w:b/>
          <w:sz w:val="22"/>
          <w:szCs w:val="22"/>
          <w:lang w:eastAsia="en-AU"/>
        </w:rPr>
        <w:t>The Amending LEP</w:t>
      </w:r>
      <w:r w:rsidRPr="00D02481">
        <w:rPr>
          <w:rFonts w:asciiTheme="majorHAnsi" w:eastAsia="Times New Roman" w:hAnsiTheme="majorHAnsi" w:cs="Arial"/>
          <w:b/>
          <w:sz w:val="22"/>
          <w:szCs w:val="22"/>
          <w:lang w:eastAsia="en-AU"/>
        </w:rPr>
        <w:tab/>
      </w:r>
      <w:r w:rsidRPr="00D02481">
        <w:rPr>
          <w:rFonts w:asciiTheme="majorHAnsi" w:eastAsia="Times New Roman" w:hAnsiTheme="majorHAnsi" w:cs="Arial"/>
          <w:b/>
          <w:sz w:val="22"/>
          <w:szCs w:val="22"/>
          <w:lang w:eastAsia="en-AU"/>
        </w:rPr>
        <w:tab/>
        <w:t xml:space="preserve">  </w:t>
      </w:r>
      <w:r w:rsidR="00184F89" w:rsidRPr="00D02481">
        <w:rPr>
          <w:rFonts w:asciiTheme="majorHAnsi" w:eastAsia="Times New Roman" w:hAnsiTheme="majorHAnsi" w:cs="Arial"/>
          <w:b/>
          <w:sz w:val="22"/>
          <w:szCs w:val="22"/>
          <w:lang w:eastAsia="en-AU"/>
        </w:rPr>
        <w:fldChar w:fldCharType="begin"/>
      </w:r>
      <w:r w:rsidRPr="00D02481">
        <w:rPr>
          <w:rFonts w:asciiTheme="majorHAnsi" w:eastAsia="Times New Roman" w:hAnsiTheme="majorHAnsi" w:cs="Arial"/>
          <w:b/>
          <w:sz w:val="22"/>
          <w:szCs w:val="22"/>
          <w:lang w:eastAsia="en-AU"/>
        </w:rPr>
        <w:instrText xml:space="preserve"> PAGEREF amending_3 \h </w:instrText>
      </w:r>
      <w:r w:rsidR="00184F89" w:rsidRPr="00D02481">
        <w:rPr>
          <w:rFonts w:asciiTheme="majorHAnsi" w:eastAsia="Times New Roman" w:hAnsiTheme="majorHAnsi" w:cs="Arial"/>
          <w:b/>
          <w:sz w:val="22"/>
          <w:szCs w:val="22"/>
          <w:lang w:eastAsia="en-AU"/>
        </w:rPr>
      </w:r>
      <w:r w:rsidR="00184F89" w:rsidRPr="00D02481">
        <w:rPr>
          <w:rFonts w:asciiTheme="majorHAnsi" w:eastAsia="Times New Roman" w:hAnsiTheme="majorHAnsi" w:cs="Arial"/>
          <w:b/>
          <w:sz w:val="22"/>
          <w:szCs w:val="22"/>
          <w:lang w:eastAsia="en-AU"/>
        </w:rPr>
        <w:fldChar w:fldCharType="separate"/>
      </w:r>
      <w:r w:rsidR="00AA3466">
        <w:rPr>
          <w:rFonts w:asciiTheme="majorHAnsi" w:eastAsia="Times New Roman" w:hAnsiTheme="majorHAnsi" w:cs="Arial"/>
          <w:b/>
          <w:noProof/>
          <w:sz w:val="22"/>
          <w:szCs w:val="22"/>
          <w:lang w:eastAsia="en-AU"/>
        </w:rPr>
        <w:t>8</w:t>
      </w:r>
      <w:r w:rsidR="00184F89" w:rsidRPr="00D02481">
        <w:rPr>
          <w:rFonts w:asciiTheme="majorHAnsi" w:eastAsia="Times New Roman" w:hAnsiTheme="majorHAnsi" w:cs="Arial"/>
          <w:b/>
          <w:sz w:val="22"/>
          <w:szCs w:val="22"/>
          <w:lang w:eastAsia="en-AU"/>
        </w:rPr>
        <w:fldChar w:fldCharType="end"/>
      </w:r>
    </w:p>
    <w:p w:rsidR="009757DA" w:rsidRPr="00D02481" w:rsidRDefault="009757DA" w:rsidP="008102A2">
      <w:pPr>
        <w:pStyle w:val="ListParagraph"/>
        <w:tabs>
          <w:tab w:val="left" w:pos="709"/>
          <w:tab w:val="left" w:pos="1418"/>
          <w:tab w:val="left" w:pos="2268"/>
          <w:tab w:val="center" w:pos="4182"/>
          <w:tab w:val="left" w:pos="8051"/>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3.1</w:t>
      </w:r>
      <w:r w:rsidRPr="00D02481">
        <w:rPr>
          <w:rFonts w:asciiTheme="majorHAnsi" w:eastAsia="Times New Roman" w:hAnsiTheme="majorHAnsi" w:cs="Arial"/>
          <w:sz w:val="22"/>
          <w:szCs w:val="22"/>
          <w:lang w:eastAsia="en-AU"/>
        </w:rPr>
        <w:tab/>
        <w:t>Objective</w:t>
      </w:r>
      <w:r w:rsidR="00DC0CF8" w:rsidRPr="00D02481">
        <w:rPr>
          <w:rFonts w:asciiTheme="majorHAnsi" w:eastAsia="Times New Roman" w:hAnsiTheme="majorHAnsi" w:cs="Arial"/>
          <w:sz w:val="22"/>
          <w:szCs w:val="22"/>
          <w:lang w:eastAsia="en-AU"/>
        </w:rPr>
        <w:t>s or Intended Outcomes</w:t>
      </w:r>
      <w:r w:rsidR="001819AE" w:rsidRPr="00D02481">
        <w:rPr>
          <w:rFonts w:asciiTheme="majorHAnsi" w:eastAsia="Times New Roman" w:hAnsiTheme="majorHAnsi" w:cs="Arial"/>
          <w:sz w:val="22"/>
          <w:szCs w:val="22"/>
          <w:lang w:eastAsia="en-AU"/>
        </w:rPr>
        <w:tab/>
      </w:r>
      <w:r w:rsid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obj_3_1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8</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tabs>
          <w:tab w:val="left" w:pos="709"/>
          <w:tab w:val="left" w:pos="1418"/>
          <w:tab w:val="left" w:pos="2268"/>
          <w:tab w:val="center" w:pos="4182"/>
          <w:tab w:val="left" w:pos="8089"/>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3.2</w:t>
      </w:r>
      <w:r w:rsidRPr="00D02481">
        <w:rPr>
          <w:rFonts w:asciiTheme="majorHAnsi" w:eastAsia="Times New Roman" w:hAnsiTheme="majorHAnsi" w:cs="Arial"/>
          <w:sz w:val="22"/>
          <w:szCs w:val="22"/>
          <w:lang w:eastAsia="en-AU"/>
        </w:rPr>
        <w:tab/>
      </w:r>
      <w:r w:rsidR="00DC0CF8" w:rsidRPr="00D02481">
        <w:rPr>
          <w:rFonts w:asciiTheme="majorHAnsi" w:eastAsia="Times New Roman" w:hAnsiTheme="majorHAnsi" w:cs="Arial"/>
          <w:sz w:val="22"/>
          <w:szCs w:val="22"/>
          <w:lang w:eastAsia="en-AU"/>
        </w:rPr>
        <w:t xml:space="preserve">Explanations of </w:t>
      </w:r>
      <w:r w:rsidR="0034043E" w:rsidRPr="00D02481">
        <w:rPr>
          <w:rFonts w:asciiTheme="majorHAnsi" w:eastAsia="Times New Roman" w:hAnsiTheme="majorHAnsi" w:cs="Arial"/>
          <w:sz w:val="22"/>
          <w:szCs w:val="22"/>
          <w:lang w:eastAsia="en-AU"/>
        </w:rPr>
        <w:t>Provisions</w:t>
      </w:r>
      <w:r w:rsidR="001819AE" w:rsidRPr="00D02481">
        <w:rPr>
          <w:rFonts w:asciiTheme="majorHAnsi" w:eastAsia="Times New Roman" w:hAnsiTheme="majorHAnsi" w:cs="Arial"/>
          <w:sz w:val="22"/>
          <w:szCs w:val="22"/>
          <w:lang w:eastAsia="en-AU"/>
        </w:rPr>
        <w:tab/>
      </w:r>
      <w:r w:rsidR="001819AE" w:rsidRPr="00D02481">
        <w:rPr>
          <w:rFonts w:asciiTheme="majorHAnsi" w:eastAsia="Times New Roman" w:hAnsiTheme="majorHAnsi" w:cs="Arial"/>
          <w:sz w:val="22"/>
          <w:szCs w:val="22"/>
          <w:lang w:eastAsia="en-AU"/>
        </w:rPr>
        <w:tab/>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exp_3_2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8</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tabs>
          <w:tab w:val="left" w:pos="709"/>
          <w:tab w:val="left" w:pos="1418"/>
          <w:tab w:val="left" w:pos="2268"/>
          <w:tab w:val="center" w:pos="4182"/>
          <w:tab w:val="left" w:pos="8114"/>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3.3</w:t>
      </w:r>
      <w:r w:rsidRPr="00D02481">
        <w:rPr>
          <w:rFonts w:asciiTheme="majorHAnsi" w:eastAsia="Times New Roman" w:hAnsiTheme="majorHAnsi" w:cs="Arial"/>
          <w:sz w:val="22"/>
          <w:szCs w:val="22"/>
          <w:lang w:eastAsia="en-AU"/>
        </w:rPr>
        <w:tab/>
        <w:t>Justification</w:t>
      </w:r>
      <w:r w:rsidR="001819AE" w:rsidRPr="00D02481">
        <w:rPr>
          <w:rFonts w:asciiTheme="majorHAnsi" w:eastAsia="Times New Roman" w:hAnsiTheme="majorHAnsi" w:cs="Arial"/>
          <w:sz w:val="22"/>
          <w:szCs w:val="22"/>
          <w:lang w:eastAsia="en-AU"/>
        </w:rPr>
        <w:tab/>
      </w:r>
      <w:r w:rsidR="001819AE" w:rsidRPr="00D02481">
        <w:rPr>
          <w:rFonts w:asciiTheme="majorHAnsi" w:eastAsia="Times New Roman" w:hAnsiTheme="majorHAnsi" w:cs="Arial"/>
          <w:sz w:val="22"/>
          <w:szCs w:val="22"/>
          <w:lang w:eastAsia="en-AU"/>
        </w:rPr>
        <w:tab/>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just_3_3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8</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numPr>
          <w:ilvl w:val="2"/>
          <w:numId w:val="33"/>
        </w:numPr>
        <w:tabs>
          <w:tab w:val="left" w:pos="709"/>
          <w:tab w:val="left" w:pos="1418"/>
          <w:tab w:val="left" w:pos="2268"/>
          <w:tab w:val="center" w:pos="4182"/>
          <w:tab w:val="left" w:pos="8089"/>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 xml:space="preserve">Section A </w:t>
      </w:r>
      <w:r w:rsidR="00EE3E3C" w:rsidRPr="00D02481">
        <w:rPr>
          <w:rFonts w:asciiTheme="majorHAnsi" w:eastAsia="Times New Roman" w:hAnsiTheme="majorHAnsi" w:cs="Arial"/>
          <w:sz w:val="22"/>
          <w:szCs w:val="22"/>
          <w:lang w:eastAsia="en-AU"/>
        </w:rPr>
        <w:t>—</w:t>
      </w:r>
      <w:r w:rsidRPr="00D02481">
        <w:rPr>
          <w:rFonts w:asciiTheme="majorHAnsi" w:eastAsia="Times New Roman" w:hAnsiTheme="majorHAnsi" w:cs="Arial"/>
          <w:sz w:val="22"/>
          <w:szCs w:val="22"/>
          <w:lang w:eastAsia="en-AU"/>
        </w:rPr>
        <w:t xml:space="preserve"> Need for</w:t>
      </w:r>
      <w:r w:rsidR="001819AE" w:rsidRPr="00D02481">
        <w:rPr>
          <w:rFonts w:asciiTheme="majorHAnsi" w:eastAsia="Times New Roman" w:hAnsiTheme="majorHAnsi" w:cs="Arial"/>
          <w:sz w:val="22"/>
          <w:szCs w:val="22"/>
          <w:lang w:eastAsia="en-AU"/>
        </w:rPr>
        <w:t xml:space="preserve"> the </w:t>
      </w:r>
      <w:r w:rsidR="006C7B49">
        <w:rPr>
          <w:rFonts w:asciiTheme="majorHAnsi" w:eastAsia="Times New Roman" w:hAnsiTheme="majorHAnsi" w:cs="Arial"/>
          <w:sz w:val="22"/>
          <w:szCs w:val="22"/>
          <w:lang w:eastAsia="en-AU"/>
        </w:rPr>
        <w:t>Planning Proposal</w:t>
      </w:r>
      <w:r w:rsidR="001819AE" w:rsidRPr="00D02481">
        <w:rPr>
          <w:rFonts w:asciiTheme="majorHAnsi" w:eastAsia="Times New Roman" w:hAnsiTheme="majorHAnsi" w:cs="Arial"/>
          <w:sz w:val="22"/>
          <w:szCs w:val="22"/>
          <w:lang w:eastAsia="en-AU"/>
        </w:rPr>
        <w:tab/>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Sec_A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8</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numPr>
          <w:ilvl w:val="2"/>
          <w:numId w:val="33"/>
        </w:numPr>
        <w:tabs>
          <w:tab w:val="left" w:pos="709"/>
          <w:tab w:val="left" w:pos="1418"/>
          <w:tab w:val="left" w:pos="2268"/>
          <w:tab w:val="center" w:pos="4182"/>
          <w:tab w:val="left" w:pos="8189"/>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 xml:space="preserve">Section B </w:t>
      </w:r>
      <w:r w:rsidR="00EE3E3C" w:rsidRPr="00D02481">
        <w:rPr>
          <w:rFonts w:asciiTheme="majorHAnsi" w:eastAsia="Times New Roman" w:hAnsiTheme="majorHAnsi" w:cs="Arial"/>
          <w:sz w:val="22"/>
          <w:szCs w:val="22"/>
          <w:lang w:eastAsia="en-AU"/>
        </w:rPr>
        <w:t>—</w:t>
      </w:r>
      <w:r w:rsidRPr="00D02481">
        <w:rPr>
          <w:rFonts w:asciiTheme="majorHAnsi" w:eastAsia="Times New Roman" w:hAnsiTheme="majorHAnsi" w:cs="Arial"/>
          <w:sz w:val="22"/>
          <w:szCs w:val="22"/>
          <w:lang w:eastAsia="en-AU"/>
        </w:rPr>
        <w:t xml:space="preserve"> Relationship t</w:t>
      </w:r>
      <w:r w:rsidR="001819AE" w:rsidRPr="00D02481">
        <w:rPr>
          <w:rFonts w:asciiTheme="majorHAnsi" w:eastAsia="Times New Roman" w:hAnsiTheme="majorHAnsi" w:cs="Arial"/>
          <w:sz w:val="22"/>
          <w:szCs w:val="22"/>
          <w:lang w:eastAsia="en-AU"/>
        </w:rPr>
        <w:t>o strategic planning framework</w:t>
      </w:r>
      <w:r w:rsidR="00C74987" w:rsidRPr="00D02481">
        <w:rPr>
          <w:rFonts w:asciiTheme="majorHAnsi" w:eastAsia="Times New Roman" w:hAnsiTheme="majorHAnsi" w:cs="Arial"/>
          <w:sz w:val="22"/>
          <w:szCs w:val="22"/>
          <w:lang w:eastAsia="en-AU"/>
        </w:rPr>
        <w:t xml:space="preserve">          </w:t>
      </w:r>
      <w:r w:rsidR="00D02481">
        <w:rPr>
          <w:rFonts w:asciiTheme="majorHAnsi" w:eastAsia="Times New Roman" w:hAnsiTheme="majorHAnsi" w:cs="Arial"/>
          <w:sz w:val="22"/>
          <w:szCs w:val="22"/>
          <w:lang w:eastAsia="en-AU"/>
        </w:rPr>
        <w:t xml:space="preserve"> </w:t>
      </w:r>
      <w:r w:rsidR="00C74987"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Sec_B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9</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numPr>
          <w:ilvl w:val="2"/>
          <w:numId w:val="33"/>
        </w:numPr>
        <w:tabs>
          <w:tab w:val="left" w:pos="709"/>
          <w:tab w:val="left" w:pos="1418"/>
          <w:tab w:val="left" w:pos="2268"/>
          <w:tab w:val="center" w:pos="4182"/>
          <w:tab w:val="left" w:pos="8214"/>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 xml:space="preserve">Section C </w:t>
      </w:r>
      <w:r w:rsidR="00EE3E3C" w:rsidRPr="00D02481">
        <w:rPr>
          <w:rFonts w:asciiTheme="majorHAnsi" w:eastAsia="Times New Roman" w:hAnsiTheme="majorHAnsi" w:cs="Arial"/>
          <w:sz w:val="22"/>
          <w:szCs w:val="22"/>
          <w:lang w:eastAsia="en-AU"/>
        </w:rPr>
        <w:t>—</w:t>
      </w:r>
      <w:r w:rsidRPr="00D02481">
        <w:rPr>
          <w:rFonts w:asciiTheme="majorHAnsi" w:eastAsia="Times New Roman" w:hAnsiTheme="majorHAnsi" w:cs="Arial"/>
          <w:sz w:val="22"/>
          <w:szCs w:val="22"/>
          <w:lang w:eastAsia="en-AU"/>
        </w:rPr>
        <w:t xml:space="preserve"> Environmenta</w:t>
      </w:r>
      <w:r w:rsidR="0034043E" w:rsidRPr="00D02481">
        <w:rPr>
          <w:rFonts w:asciiTheme="majorHAnsi" w:eastAsia="Times New Roman" w:hAnsiTheme="majorHAnsi" w:cs="Arial"/>
          <w:sz w:val="22"/>
          <w:szCs w:val="22"/>
          <w:lang w:eastAsia="en-AU"/>
        </w:rPr>
        <w:t>l, social and economic impacts</w:t>
      </w:r>
      <w:r w:rsidR="00C74987"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Sec_C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22</w:t>
      </w:r>
      <w:r w:rsidR="00184F89" w:rsidRPr="00D02481">
        <w:rPr>
          <w:rFonts w:asciiTheme="majorHAnsi" w:eastAsia="Times New Roman" w:hAnsiTheme="majorHAnsi" w:cs="Arial"/>
          <w:sz w:val="22"/>
          <w:szCs w:val="22"/>
          <w:lang w:eastAsia="en-AU"/>
        </w:rPr>
        <w:fldChar w:fldCharType="end"/>
      </w:r>
    </w:p>
    <w:p w:rsidR="009757DA" w:rsidRPr="00D02481" w:rsidRDefault="009757DA" w:rsidP="008102A2">
      <w:pPr>
        <w:pStyle w:val="ListParagraph"/>
        <w:numPr>
          <w:ilvl w:val="2"/>
          <w:numId w:val="33"/>
        </w:numPr>
        <w:tabs>
          <w:tab w:val="left" w:pos="709"/>
          <w:tab w:val="left" w:pos="1418"/>
          <w:tab w:val="left" w:pos="2268"/>
          <w:tab w:val="center" w:pos="4182"/>
          <w:tab w:val="center" w:pos="8080"/>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 xml:space="preserve">Section D </w:t>
      </w:r>
      <w:r w:rsidR="00EE3E3C" w:rsidRPr="00D02481">
        <w:rPr>
          <w:rFonts w:asciiTheme="majorHAnsi" w:eastAsia="Times New Roman" w:hAnsiTheme="majorHAnsi" w:cs="Arial"/>
          <w:sz w:val="22"/>
          <w:szCs w:val="22"/>
          <w:lang w:eastAsia="en-AU"/>
        </w:rPr>
        <w:t>—</w:t>
      </w:r>
      <w:r w:rsidRPr="00D02481">
        <w:rPr>
          <w:rFonts w:asciiTheme="majorHAnsi" w:eastAsia="Times New Roman" w:hAnsiTheme="majorHAnsi" w:cs="Arial"/>
          <w:sz w:val="22"/>
          <w:szCs w:val="22"/>
          <w:lang w:eastAsia="en-AU"/>
        </w:rPr>
        <w:t xml:space="preserve"> St</w:t>
      </w:r>
      <w:r w:rsidR="0034043E" w:rsidRPr="00D02481">
        <w:rPr>
          <w:rFonts w:asciiTheme="majorHAnsi" w:eastAsia="Times New Roman" w:hAnsiTheme="majorHAnsi" w:cs="Arial"/>
          <w:sz w:val="22"/>
          <w:szCs w:val="22"/>
          <w:lang w:eastAsia="en-AU"/>
        </w:rPr>
        <w:t>ate and Commonwealth interests</w:t>
      </w:r>
      <w:r w:rsidR="00C74987" w:rsidRPr="00D02481">
        <w:rPr>
          <w:rFonts w:asciiTheme="majorHAnsi" w:eastAsia="Times New Roman" w:hAnsiTheme="majorHAnsi" w:cs="Arial"/>
          <w:sz w:val="22"/>
          <w:szCs w:val="22"/>
          <w:lang w:eastAsia="en-AU"/>
        </w:rPr>
        <w:t xml:space="preserve">  </w:t>
      </w:r>
      <w:r w:rsidR="0034043E" w:rsidRPr="00D02481">
        <w:rPr>
          <w:rFonts w:asciiTheme="majorHAnsi" w:eastAsia="Times New Roman" w:hAnsiTheme="majorHAnsi" w:cs="Arial"/>
          <w:sz w:val="22"/>
          <w:szCs w:val="22"/>
          <w:lang w:eastAsia="en-AU"/>
        </w:rPr>
        <w:tab/>
      </w:r>
      <w:r w:rsidR="00C74987"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Sec_D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24</w:t>
      </w:r>
      <w:r w:rsidR="00184F89" w:rsidRPr="00D02481">
        <w:rPr>
          <w:rFonts w:asciiTheme="majorHAnsi" w:eastAsia="Times New Roman" w:hAnsiTheme="majorHAnsi" w:cs="Arial"/>
          <w:sz w:val="22"/>
          <w:szCs w:val="22"/>
          <w:lang w:eastAsia="en-AU"/>
        </w:rPr>
        <w:fldChar w:fldCharType="end"/>
      </w:r>
    </w:p>
    <w:p w:rsidR="009757DA" w:rsidRPr="00D02481" w:rsidRDefault="00A50264" w:rsidP="008102A2">
      <w:pPr>
        <w:pStyle w:val="ListParagraph"/>
        <w:numPr>
          <w:ilvl w:val="1"/>
          <w:numId w:val="29"/>
        </w:numPr>
        <w:tabs>
          <w:tab w:val="left" w:pos="709"/>
          <w:tab w:val="left" w:pos="1418"/>
          <w:tab w:val="left" w:pos="2268"/>
          <w:tab w:val="center" w:pos="4182"/>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Map</w:t>
      </w:r>
      <w:r w:rsidR="001D17C9" w:rsidRPr="00D02481">
        <w:rPr>
          <w:rFonts w:asciiTheme="majorHAnsi" w:eastAsia="Times New Roman" w:hAnsiTheme="majorHAnsi" w:cs="Arial"/>
          <w:sz w:val="22"/>
          <w:szCs w:val="22"/>
          <w:lang w:eastAsia="en-AU"/>
        </w:rPr>
        <w:t>ping</w:t>
      </w:r>
      <w:r w:rsidR="009757DA" w:rsidRPr="00D02481">
        <w:rPr>
          <w:rFonts w:asciiTheme="majorHAnsi" w:eastAsia="Times New Roman" w:hAnsiTheme="majorHAnsi" w:cs="Arial"/>
          <w:sz w:val="22"/>
          <w:szCs w:val="22"/>
          <w:lang w:eastAsia="en-AU"/>
        </w:rPr>
        <w:tab/>
      </w:r>
      <w:r w:rsidR="001819AE" w:rsidRPr="00D02481">
        <w:rPr>
          <w:rFonts w:asciiTheme="majorHAnsi" w:eastAsia="Times New Roman" w:hAnsiTheme="majorHAnsi" w:cs="Arial"/>
          <w:sz w:val="22"/>
          <w:szCs w:val="22"/>
          <w:lang w:eastAsia="en-AU"/>
        </w:rPr>
        <w:tab/>
      </w:r>
      <w:r w:rsidR="00C74987" w:rsidRPr="00D02481">
        <w:rPr>
          <w:rFonts w:asciiTheme="majorHAnsi" w:eastAsia="Times New Roman" w:hAnsiTheme="majorHAnsi" w:cs="Arial"/>
          <w:sz w:val="22"/>
          <w:szCs w:val="22"/>
          <w:lang w:eastAsia="en-AU"/>
        </w:rPr>
        <w:t xml:space="preserve"> </w:t>
      </w:r>
      <w:r w:rsidR="00D02481">
        <w:rPr>
          <w:rFonts w:asciiTheme="majorHAnsi" w:eastAsia="Times New Roman" w:hAnsiTheme="majorHAnsi" w:cs="Arial"/>
          <w:sz w:val="22"/>
          <w:szCs w:val="22"/>
          <w:lang w:eastAsia="en-AU"/>
        </w:rPr>
        <w:t xml:space="preserve">         </w:t>
      </w:r>
      <w:r w:rsidR="00C74987"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mapping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27</w:t>
      </w:r>
      <w:r w:rsidR="00184F89" w:rsidRPr="00D02481">
        <w:rPr>
          <w:rFonts w:asciiTheme="majorHAnsi" w:eastAsia="Times New Roman" w:hAnsiTheme="majorHAnsi" w:cs="Arial"/>
          <w:sz w:val="22"/>
          <w:szCs w:val="22"/>
          <w:lang w:eastAsia="en-AU"/>
        </w:rPr>
        <w:fldChar w:fldCharType="end"/>
      </w:r>
    </w:p>
    <w:p w:rsidR="00A50264" w:rsidRPr="00D02481" w:rsidRDefault="00A50264" w:rsidP="008102A2">
      <w:pPr>
        <w:pStyle w:val="ListParagraph"/>
        <w:numPr>
          <w:ilvl w:val="1"/>
          <w:numId w:val="29"/>
        </w:numPr>
        <w:tabs>
          <w:tab w:val="left" w:pos="709"/>
          <w:tab w:val="left" w:pos="1418"/>
          <w:tab w:val="left" w:pos="2268"/>
          <w:tab w:val="left" w:pos="8302"/>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Community Consultation</w:t>
      </w:r>
      <w:r w:rsidR="001819AE" w:rsidRPr="00D02481">
        <w:rPr>
          <w:rFonts w:asciiTheme="majorHAnsi" w:eastAsia="Times New Roman" w:hAnsiTheme="majorHAnsi" w:cs="Arial"/>
          <w:sz w:val="22"/>
          <w:szCs w:val="22"/>
          <w:lang w:eastAsia="en-AU"/>
        </w:rPr>
        <w:t xml:space="preserve">                                                                                   </w:t>
      </w:r>
      <w:r w:rsidR="00C74987" w:rsidRPr="00D02481">
        <w:rPr>
          <w:rFonts w:asciiTheme="majorHAnsi" w:eastAsia="Times New Roman" w:hAnsiTheme="majorHAnsi" w:cs="Arial"/>
          <w:sz w:val="22"/>
          <w:szCs w:val="22"/>
          <w:lang w:eastAsia="en-AU"/>
        </w:rPr>
        <w:t xml:space="preserve"> </w:t>
      </w:r>
      <w:r w:rsidR="001819AE"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Com_consultation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32</w:t>
      </w:r>
      <w:r w:rsidR="00184F89" w:rsidRPr="00D02481">
        <w:rPr>
          <w:rFonts w:asciiTheme="majorHAnsi" w:eastAsia="Times New Roman" w:hAnsiTheme="majorHAnsi" w:cs="Arial"/>
          <w:sz w:val="22"/>
          <w:szCs w:val="22"/>
          <w:lang w:eastAsia="en-AU"/>
        </w:rPr>
        <w:fldChar w:fldCharType="end"/>
      </w:r>
      <w:r w:rsidR="001819AE" w:rsidRPr="00D02481">
        <w:rPr>
          <w:rFonts w:asciiTheme="majorHAnsi" w:eastAsia="Times New Roman" w:hAnsiTheme="majorHAnsi" w:cs="Arial"/>
          <w:sz w:val="22"/>
          <w:szCs w:val="22"/>
          <w:lang w:eastAsia="en-AU"/>
        </w:rPr>
        <w:tab/>
      </w:r>
    </w:p>
    <w:p w:rsidR="009757DA" w:rsidRPr="00D02481" w:rsidRDefault="00A50264" w:rsidP="008102A2">
      <w:pPr>
        <w:pStyle w:val="ListParagraph"/>
        <w:numPr>
          <w:ilvl w:val="1"/>
          <w:numId w:val="29"/>
        </w:numPr>
        <w:tabs>
          <w:tab w:val="left" w:pos="709"/>
          <w:tab w:val="left" w:pos="1418"/>
          <w:tab w:val="left" w:pos="2268"/>
          <w:tab w:val="center" w:pos="4182"/>
          <w:tab w:val="left" w:pos="8139"/>
          <w:tab w:val="center" w:pos="8364"/>
        </w:tabs>
        <w:spacing w:before="120" w:after="0" w:line="360" w:lineRule="auto"/>
        <w:contextualSpacing w:val="0"/>
        <w:rPr>
          <w:rFonts w:asciiTheme="majorHAnsi" w:eastAsia="Times New Roman" w:hAnsiTheme="majorHAnsi" w:cs="Arial"/>
          <w:sz w:val="22"/>
          <w:szCs w:val="22"/>
          <w:lang w:eastAsia="en-AU"/>
        </w:rPr>
      </w:pPr>
      <w:r w:rsidRPr="00D02481">
        <w:rPr>
          <w:rFonts w:asciiTheme="majorHAnsi" w:eastAsia="Times New Roman" w:hAnsiTheme="majorHAnsi" w:cs="Arial"/>
          <w:sz w:val="22"/>
          <w:szCs w:val="22"/>
          <w:lang w:eastAsia="en-AU"/>
        </w:rPr>
        <w:t>Project Timeline</w:t>
      </w:r>
      <w:r w:rsidR="00C74987" w:rsidRPr="00D02481">
        <w:rPr>
          <w:rFonts w:asciiTheme="majorHAnsi" w:eastAsia="Times New Roman" w:hAnsiTheme="majorHAnsi" w:cs="Arial"/>
          <w:sz w:val="22"/>
          <w:szCs w:val="22"/>
          <w:lang w:eastAsia="en-AU"/>
        </w:rPr>
        <w:tab/>
        <w:t xml:space="preserve">                                                                                                  </w:t>
      </w:r>
      <w:r w:rsidR="00D02481">
        <w:rPr>
          <w:rFonts w:asciiTheme="majorHAnsi" w:eastAsia="Times New Roman" w:hAnsiTheme="majorHAnsi" w:cs="Arial"/>
          <w:sz w:val="22"/>
          <w:szCs w:val="22"/>
          <w:lang w:eastAsia="en-AU"/>
        </w:rPr>
        <w:t xml:space="preserve"> </w:t>
      </w:r>
      <w:r w:rsidR="00C74987" w:rsidRPr="00D02481">
        <w:rPr>
          <w:rFonts w:asciiTheme="majorHAnsi" w:eastAsia="Times New Roman" w:hAnsiTheme="majorHAnsi" w:cs="Arial"/>
          <w:sz w:val="22"/>
          <w:szCs w:val="22"/>
          <w:lang w:eastAsia="en-AU"/>
        </w:rPr>
        <w:t xml:space="preserve">    </w:t>
      </w:r>
      <w:r w:rsidR="00184F89" w:rsidRPr="00D02481">
        <w:rPr>
          <w:rFonts w:asciiTheme="majorHAnsi" w:eastAsia="Times New Roman" w:hAnsiTheme="majorHAnsi" w:cs="Arial"/>
          <w:sz w:val="22"/>
          <w:szCs w:val="22"/>
          <w:lang w:eastAsia="en-AU"/>
        </w:rPr>
        <w:fldChar w:fldCharType="begin"/>
      </w:r>
      <w:r w:rsidR="001819AE" w:rsidRPr="00D02481">
        <w:rPr>
          <w:rFonts w:asciiTheme="majorHAnsi" w:eastAsia="Times New Roman" w:hAnsiTheme="majorHAnsi" w:cs="Arial"/>
          <w:sz w:val="22"/>
          <w:szCs w:val="22"/>
          <w:lang w:eastAsia="en-AU"/>
        </w:rPr>
        <w:instrText xml:space="preserve"> PAGEREF timeline \h </w:instrText>
      </w:r>
      <w:r w:rsidR="00184F89" w:rsidRPr="00D02481">
        <w:rPr>
          <w:rFonts w:asciiTheme="majorHAnsi" w:eastAsia="Times New Roman" w:hAnsiTheme="majorHAnsi" w:cs="Arial"/>
          <w:sz w:val="22"/>
          <w:szCs w:val="22"/>
          <w:lang w:eastAsia="en-AU"/>
        </w:rPr>
      </w:r>
      <w:r w:rsidR="00184F89" w:rsidRPr="00D02481">
        <w:rPr>
          <w:rFonts w:asciiTheme="majorHAnsi" w:eastAsia="Times New Roman" w:hAnsiTheme="majorHAnsi" w:cs="Arial"/>
          <w:sz w:val="22"/>
          <w:szCs w:val="22"/>
          <w:lang w:eastAsia="en-AU"/>
        </w:rPr>
        <w:fldChar w:fldCharType="separate"/>
      </w:r>
      <w:r w:rsidR="00AA3466">
        <w:rPr>
          <w:rFonts w:asciiTheme="majorHAnsi" w:eastAsia="Times New Roman" w:hAnsiTheme="majorHAnsi" w:cs="Arial"/>
          <w:noProof/>
          <w:sz w:val="22"/>
          <w:szCs w:val="22"/>
          <w:lang w:eastAsia="en-AU"/>
        </w:rPr>
        <w:t>32</w:t>
      </w:r>
      <w:r w:rsidR="00184F89" w:rsidRPr="00D02481">
        <w:rPr>
          <w:rFonts w:asciiTheme="majorHAnsi" w:eastAsia="Times New Roman" w:hAnsiTheme="majorHAnsi" w:cs="Arial"/>
          <w:sz w:val="22"/>
          <w:szCs w:val="22"/>
          <w:lang w:eastAsia="en-AU"/>
        </w:rPr>
        <w:fldChar w:fldCharType="end"/>
      </w:r>
      <w:r w:rsidR="001819AE" w:rsidRPr="00D02481">
        <w:rPr>
          <w:rFonts w:asciiTheme="majorHAnsi" w:eastAsia="Times New Roman" w:hAnsiTheme="majorHAnsi" w:cs="Arial"/>
          <w:sz w:val="22"/>
          <w:szCs w:val="22"/>
          <w:lang w:eastAsia="en-AU"/>
        </w:rPr>
        <w:tab/>
      </w:r>
    </w:p>
    <w:p w:rsidR="009757DA" w:rsidRPr="00AA3466" w:rsidRDefault="009757DA" w:rsidP="008102A2">
      <w:pPr>
        <w:pStyle w:val="ListParagraph"/>
        <w:numPr>
          <w:ilvl w:val="0"/>
          <w:numId w:val="29"/>
        </w:numPr>
        <w:tabs>
          <w:tab w:val="left" w:pos="709"/>
          <w:tab w:val="left" w:pos="1418"/>
          <w:tab w:val="left" w:pos="2268"/>
          <w:tab w:val="center" w:pos="4182"/>
          <w:tab w:val="left" w:pos="8227"/>
          <w:tab w:val="center" w:pos="8364"/>
        </w:tabs>
        <w:spacing w:before="120" w:after="0" w:line="360" w:lineRule="auto"/>
        <w:contextualSpacing w:val="0"/>
        <w:rPr>
          <w:rFonts w:asciiTheme="majorHAnsi" w:eastAsia="Times New Roman" w:hAnsiTheme="majorHAnsi" w:cs="Arial"/>
          <w:b/>
          <w:sz w:val="22"/>
          <w:szCs w:val="22"/>
          <w:lang w:eastAsia="en-AU"/>
        </w:rPr>
      </w:pPr>
      <w:r w:rsidRPr="00D02481">
        <w:rPr>
          <w:rFonts w:asciiTheme="majorHAnsi" w:eastAsia="Times New Roman" w:hAnsiTheme="majorHAnsi" w:cs="Arial"/>
          <w:b/>
          <w:sz w:val="22"/>
          <w:szCs w:val="22"/>
          <w:lang w:eastAsia="en-AU"/>
        </w:rPr>
        <w:t>Conclusion</w:t>
      </w:r>
      <w:r w:rsidRPr="00D02481">
        <w:rPr>
          <w:rFonts w:asciiTheme="majorHAnsi" w:eastAsia="Times New Roman" w:hAnsiTheme="majorHAnsi" w:cs="Arial"/>
          <w:b/>
          <w:sz w:val="22"/>
          <w:szCs w:val="22"/>
          <w:lang w:eastAsia="en-AU"/>
        </w:rPr>
        <w:tab/>
      </w:r>
      <w:r w:rsidR="00C74987" w:rsidRPr="00D02481">
        <w:rPr>
          <w:rFonts w:asciiTheme="majorHAnsi" w:eastAsia="Times New Roman" w:hAnsiTheme="majorHAnsi" w:cs="Arial"/>
          <w:b/>
          <w:sz w:val="22"/>
          <w:szCs w:val="22"/>
          <w:lang w:eastAsia="en-AU"/>
        </w:rPr>
        <w:tab/>
      </w:r>
      <w:r w:rsidR="00C74987" w:rsidRPr="00AA3466">
        <w:rPr>
          <w:rFonts w:asciiTheme="majorHAnsi" w:eastAsia="Times New Roman" w:hAnsiTheme="majorHAnsi" w:cs="Arial"/>
          <w:b/>
          <w:sz w:val="22"/>
          <w:szCs w:val="22"/>
          <w:lang w:eastAsia="en-AU"/>
        </w:rPr>
        <w:t xml:space="preserve">                                                                                                                   </w:t>
      </w:r>
      <w:r w:rsidR="00184F89" w:rsidRPr="00AA3466">
        <w:rPr>
          <w:rFonts w:asciiTheme="majorHAnsi" w:eastAsia="Times New Roman" w:hAnsiTheme="majorHAnsi" w:cs="Arial"/>
          <w:b/>
          <w:sz w:val="22"/>
          <w:szCs w:val="22"/>
          <w:lang w:eastAsia="en-AU"/>
        </w:rPr>
        <w:fldChar w:fldCharType="begin"/>
      </w:r>
      <w:r w:rsidR="001819AE" w:rsidRPr="00AA3466">
        <w:rPr>
          <w:rFonts w:asciiTheme="majorHAnsi" w:eastAsia="Times New Roman" w:hAnsiTheme="majorHAnsi" w:cs="Arial"/>
          <w:b/>
          <w:sz w:val="22"/>
          <w:szCs w:val="22"/>
          <w:lang w:eastAsia="en-AU"/>
        </w:rPr>
        <w:instrText xml:space="preserve"> PAGEREF conclution \h </w:instrText>
      </w:r>
      <w:r w:rsidR="00184F89" w:rsidRPr="00AA3466">
        <w:rPr>
          <w:rFonts w:asciiTheme="majorHAnsi" w:eastAsia="Times New Roman" w:hAnsiTheme="majorHAnsi" w:cs="Arial"/>
          <w:b/>
          <w:sz w:val="22"/>
          <w:szCs w:val="22"/>
          <w:lang w:eastAsia="en-AU"/>
        </w:rPr>
      </w:r>
      <w:r w:rsidR="00184F89" w:rsidRPr="00AA3466">
        <w:rPr>
          <w:rFonts w:asciiTheme="majorHAnsi" w:eastAsia="Times New Roman" w:hAnsiTheme="majorHAnsi" w:cs="Arial"/>
          <w:b/>
          <w:sz w:val="22"/>
          <w:szCs w:val="22"/>
          <w:lang w:eastAsia="en-AU"/>
        </w:rPr>
        <w:fldChar w:fldCharType="separate"/>
      </w:r>
      <w:r w:rsidR="00AA3466" w:rsidRPr="00AA3466">
        <w:rPr>
          <w:rFonts w:asciiTheme="majorHAnsi" w:eastAsia="Times New Roman" w:hAnsiTheme="majorHAnsi" w:cs="Arial"/>
          <w:b/>
          <w:noProof/>
          <w:sz w:val="22"/>
          <w:szCs w:val="22"/>
          <w:lang w:eastAsia="en-AU"/>
        </w:rPr>
        <w:t>33</w:t>
      </w:r>
      <w:r w:rsidR="00184F89" w:rsidRPr="00AA3466">
        <w:rPr>
          <w:rFonts w:asciiTheme="majorHAnsi" w:eastAsia="Times New Roman" w:hAnsiTheme="majorHAnsi" w:cs="Arial"/>
          <w:b/>
          <w:sz w:val="22"/>
          <w:szCs w:val="22"/>
          <w:lang w:eastAsia="en-AU"/>
        </w:rPr>
        <w:fldChar w:fldCharType="end"/>
      </w:r>
    </w:p>
    <w:p w:rsidR="00603B1E" w:rsidRDefault="00603B1E" w:rsidP="008102A2">
      <w:pPr>
        <w:pStyle w:val="ListParagraph"/>
        <w:numPr>
          <w:ilvl w:val="0"/>
          <w:numId w:val="29"/>
        </w:numPr>
        <w:tabs>
          <w:tab w:val="left" w:pos="709"/>
          <w:tab w:val="left" w:pos="1418"/>
          <w:tab w:val="left" w:pos="2268"/>
          <w:tab w:val="center" w:pos="4182"/>
          <w:tab w:val="left" w:pos="7938"/>
          <w:tab w:val="center" w:pos="8364"/>
        </w:tabs>
        <w:spacing w:before="120" w:after="0" w:line="360" w:lineRule="auto"/>
        <w:contextualSpacing w:val="0"/>
        <w:rPr>
          <w:rFonts w:asciiTheme="majorHAnsi" w:eastAsia="Times New Roman" w:hAnsiTheme="majorHAnsi" w:cs="Arial"/>
          <w:b/>
          <w:sz w:val="22"/>
          <w:szCs w:val="22"/>
          <w:lang w:eastAsia="en-AU"/>
        </w:rPr>
      </w:pPr>
      <w:r>
        <w:rPr>
          <w:rFonts w:asciiTheme="majorHAnsi" w:eastAsia="Times New Roman" w:hAnsiTheme="majorHAnsi" w:cs="Arial"/>
          <w:b/>
          <w:sz w:val="22"/>
          <w:szCs w:val="22"/>
          <w:lang w:eastAsia="en-AU"/>
        </w:rPr>
        <w:t xml:space="preserve">Appendices </w:t>
      </w:r>
      <w:r>
        <w:rPr>
          <w:rFonts w:asciiTheme="majorHAnsi" w:eastAsia="Times New Roman" w:hAnsiTheme="majorHAnsi" w:cs="Arial"/>
          <w:b/>
          <w:sz w:val="22"/>
          <w:szCs w:val="22"/>
          <w:lang w:eastAsia="en-AU"/>
        </w:rPr>
        <w:tab/>
      </w:r>
      <w:r>
        <w:rPr>
          <w:rFonts w:asciiTheme="majorHAnsi" w:eastAsia="Times New Roman" w:hAnsiTheme="majorHAnsi" w:cs="Arial"/>
          <w:b/>
          <w:sz w:val="22"/>
          <w:szCs w:val="22"/>
          <w:lang w:eastAsia="en-AU"/>
        </w:rPr>
        <w:tab/>
      </w:r>
      <w:r>
        <w:rPr>
          <w:rFonts w:asciiTheme="majorHAnsi" w:eastAsia="Times New Roman" w:hAnsiTheme="majorHAnsi" w:cs="Arial"/>
          <w:b/>
          <w:sz w:val="22"/>
          <w:szCs w:val="22"/>
          <w:lang w:eastAsia="en-AU"/>
        </w:rPr>
        <w:tab/>
      </w:r>
      <w:r w:rsidRPr="00AA3466">
        <w:rPr>
          <w:rFonts w:asciiTheme="majorHAnsi" w:eastAsia="Times New Roman" w:hAnsiTheme="majorHAnsi" w:cs="Arial"/>
          <w:b/>
          <w:sz w:val="22"/>
          <w:szCs w:val="22"/>
          <w:lang w:eastAsia="en-AU"/>
        </w:rPr>
        <w:t xml:space="preserve"> 3</w:t>
      </w:r>
      <w:r w:rsidR="0012751C" w:rsidRPr="00AA3466">
        <w:rPr>
          <w:rFonts w:asciiTheme="majorHAnsi" w:eastAsia="Times New Roman" w:hAnsiTheme="majorHAnsi" w:cs="Arial"/>
          <w:b/>
          <w:sz w:val="22"/>
          <w:szCs w:val="22"/>
          <w:lang w:eastAsia="en-AU"/>
        </w:rPr>
        <w:t>1</w:t>
      </w:r>
    </w:p>
    <w:p w:rsidR="000C45F9" w:rsidRPr="00F272CE" w:rsidRDefault="000C45F9" w:rsidP="00603B1E">
      <w:pPr>
        <w:pStyle w:val="ListParagraph"/>
        <w:tabs>
          <w:tab w:val="left" w:pos="709"/>
          <w:tab w:val="left" w:pos="1418"/>
          <w:tab w:val="left" w:pos="2268"/>
          <w:tab w:val="center" w:pos="4182"/>
          <w:tab w:val="left" w:pos="8227"/>
          <w:tab w:val="center" w:pos="8364"/>
        </w:tabs>
        <w:spacing w:after="0"/>
        <w:rPr>
          <w:rFonts w:asciiTheme="majorHAnsi" w:eastAsia="Times New Roman" w:hAnsiTheme="majorHAnsi" w:cs="Arial"/>
          <w:sz w:val="22"/>
          <w:szCs w:val="22"/>
          <w:lang w:eastAsia="en-AU"/>
        </w:rPr>
      </w:pPr>
      <w:r w:rsidRPr="00F272CE">
        <w:rPr>
          <w:rFonts w:asciiTheme="majorHAnsi" w:eastAsia="Times New Roman" w:hAnsiTheme="majorHAnsi" w:cs="Arial"/>
          <w:sz w:val="22"/>
          <w:szCs w:val="22"/>
          <w:lang w:eastAsia="en-AU"/>
        </w:rPr>
        <w:t xml:space="preserve">Appendix 1 – </w:t>
      </w:r>
      <w:r w:rsidR="00B218B7">
        <w:rPr>
          <w:rFonts w:asciiTheme="majorHAnsi" w:eastAsia="Times New Roman" w:hAnsiTheme="majorHAnsi" w:cs="Arial"/>
          <w:sz w:val="22"/>
          <w:szCs w:val="22"/>
          <w:lang w:eastAsia="en-AU"/>
        </w:rPr>
        <w:t xml:space="preserve">Extract: </w:t>
      </w:r>
      <w:r w:rsidR="00D63F4A" w:rsidRPr="00F272CE">
        <w:rPr>
          <w:rFonts w:asciiTheme="majorHAnsi" w:eastAsia="Times New Roman" w:hAnsiTheme="majorHAnsi" w:cs="Arial"/>
          <w:sz w:val="22"/>
          <w:szCs w:val="22"/>
          <w:lang w:eastAsia="en-AU"/>
        </w:rPr>
        <w:t xml:space="preserve">Waebron </w:t>
      </w:r>
      <w:r w:rsidRPr="00F272CE">
        <w:rPr>
          <w:rFonts w:asciiTheme="majorHAnsi" w:eastAsia="Times New Roman" w:hAnsiTheme="majorHAnsi" w:cs="Arial"/>
          <w:sz w:val="22"/>
          <w:szCs w:val="22"/>
          <w:lang w:eastAsia="en-AU"/>
        </w:rPr>
        <w:t>Soil and La</w:t>
      </w:r>
      <w:r w:rsidR="00B218B7">
        <w:rPr>
          <w:rFonts w:asciiTheme="majorHAnsi" w:eastAsia="Times New Roman" w:hAnsiTheme="majorHAnsi" w:cs="Arial"/>
          <w:sz w:val="22"/>
          <w:szCs w:val="22"/>
          <w:lang w:eastAsia="en-AU"/>
        </w:rPr>
        <w:t>nd Capability Assessment</w:t>
      </w:r>
    </w:p>
    <w:p w:rsidR="00B30F8F" w:rsidRPr="00F272CE" w:rsidRDefault="00C16FED" w:rsidP="00603B1E">
      <w:pPr>
        <w:pStyle w:val="ListParagraph"/>
        <w:tabs>
          <w:tab w:val="left" w:pos="709"/>
          <w:tab w:val="left" w:pos="1418"/>
          <w:tab w:val="left" w:pos="2268"/>
          <w:tab w:val="center" w:pos="4182"/>
          <w:tab w:val="left" w:pos="8227"/>
          <w:tab w:val="center" w:pos="8364"/>
        </w:tabs>
        <w:spacing w:after="0"/>
        <w:rPr>
          <w:rFonts w:asciiTheme="majorHAnsi" w:eastAsia="Times New Roman" w:hAnsiTheme="majorHAnsi" w:cs="Arial"/>
          <w:sz w:val="22"/>
          <w:szCs w:val="22"/>
          <w:lang w:eastAsia="en-AU"/>
        </w:rPr>
      </w:pPr>
      <w:r w:rsidRPr="00F272CE">
        <w:rPr>
          <w:rFonts w:asciiTheme="majorHAnsi" w:eastAsia="Times New Roman" w:hAnsiTheme="majorHAnsi" w:cs="Arial"/>
          <w:sz w:val="22"/>
          <w:szCs w:val="22"/>
          <w:lang w:eastAsia="en-AU"/>
        </w:rPr>
        <w:t xml:space="preserve">Appendix 2 – </w:t>
      </w:r>
      <w:r w:rsidR="00B30F8F" w:rsidRPr="00F272CE">
        <w:rPr>
          <w:rFonts w:asciiTheme="majorHAnsi" w:eastAsia="Times New Roman" w:hAnsiTheme="majorHAnsi" w:cs="Arial"/>
          <w:sz w:val="22"/>
          <w:szCs w:val="22"/>
          <w:lang w:eastAsia="en-AU"/>
        </w:rPr>
        <w:t>Gateway Determination</w:t>
      </w:r>
    </w:p>
    <w:p w:rsidR="00C16FED" w:rsidRDefault="00C16FED" w:rsidP="00603B1E">
      <w:pPr>
        <w:pStyle w:val="ListParagraph"/>
        <w:tabs>
          <w:tab w:val="left" w:pos="709"/>
          <w:tab w:val="left" w:pos="1418"/>
          <w:tab w:val="left" w:pos="2268"/>
          <w:tab w:val="center" w:pos="4182"/>
          <w:tab w:val="left" w:pos="8227"/>
          <w:tab w:val="center" w:pos="8364"/>
        </w:tabs>
        <w:spacing w:after="0"/>
        <w:rPr>
          <w:rFonts w:asciiTheme="majorHAnsi" w:eastAsia="Times New Roman" w:hAnsiTheme="majorHAnsi" w:cs="Arial"/>
          <w:sz w:val="22"/>
          <w:szCs w:val="22"/>
          <w:lang w:eastAsia="en-AU"/>
        </w:rPr>
      </w:pPr>
      <w:r w:rsidRPr="00F272CE">
        <w:rPr>
          <w:rFonts w:asciiTheme="majorHAnsi" w:eastAsia="Times New Roman" w:hAnsiTheme="majorHAnsi" w:cs="Arial"/>
          <w:sz w:val="22"/>
          <w:szCs w:val="22"/>
          <w:lang w:eastAsia="en-AU"/>
        </w:rPr>
        <w:t>Appendix 3 –</w:t>
      </w:r>
      <w:r w:rsidR="00EC3F9A">
        <w:rPr>
          <w:rFonts w:asciiTheme="majorHAnsi" w:eastAsia="Times New Roman" w:hAnsiTheme="majorHAnsi" w:cs="Arial"/>
          <w:sz w:val="22"/>
          <w:szCs w:val="22"/>
          <w:lang w:eastAsia="en-AU"/>
        </w:rPr>
        <w:t xml:space="preserve"> </w:t>
      </w:r>
      <w:r w:rsidR="00721E1D">
        <w:rPr>
          <w:rFonts w:asciiTheme="majorHAnsi" w:eastAsia="Times New Roman" w:hAnsiTheme="majorHAnsi" w:cs="Arial"/>
          <w:sz w:val="22"/>
          <w:szCs w:val="22"/>
          <w:lang w:eastAsia="en-AU"/>
        </w:rPr>
        <w:t>Submissions</w:t>
      </w:r>
    </w:p>
    <w:p w:rsidR="00B30F8F" w:rsidRDefault="00B30F8F" w:rsidP="00603B1E">
      <w:pPr>
        <w:pStyle w:val="ListParagraph"/>
        <w:tabs>
          <w:tab w:val="left" w:pos="709"/>
          <w:tab w:val="left" w:pos="1418"/>
          <w:tab w:val="left" w:pos="2268"/>
          <w:tab w:val="center" w:pos="4182"/>
          <w:tab w:val="left" w:pos="8227"/>
          <w:tab w:val="center" w:pos="8364"/>
        </w:tabs>
        <w:spacing w:after="0"/>
        <w:rPr>
          <w:rFonts w:asciiTheme="majorHAnsi" w:eastAsia="Times New Roman" w:hAnsiTheme="majorHAnsi" w:cs="Arial"/>
          <w:sz w:val="22"/>
          <w:szCs w:val="22"/>
          <w:lang w:eastAsia="en-AU"/>
        </w:rPr>
      </w:pPr>
      <w:r w:rsidRPr="00F272CE">
        <w:rPr>
          <w:rFonts w:asciiTheme="majorHAnsi" w:eastAsia="Times New Roman" w:hAnsiTheme="majorHAnsi" w:cs="Arial"/>
          <w:sz w:val="22"/>
          <w:szCs w:val="22"/>
          <w:lang w:eastAsia="en-AU"/>
        </w:rPr>
        <w:t>Appendix 4 – Studies</w:t>
      </w:r>
      <w:r w:rsidR="00E42878">
        <w:rPr>
          <w:rFonts w:asciiTheme="majorHAnsi" w:eastAsia="Times New Roman" w:hAnsiTheme="majorHAnsi" w:cs="Arial"/>
          <w:sz w:val="22"/>
          <w:szCs w:val="22"/>
          <w:lang w:eastAsia="en-AU"/>
        </w:rPr>
        <w:t xml:space="preserve"> and Investigations</w:t>
      </w:r>
    </w:p>
    <w:p w:rsidR="00B3600A" w:rsidRDefault="00B3600A" w:rsidP="00B3600A">
      <w:pPr>
        <w:pStyle w:val="ListParagraph"/>
        <w:spacing w:before="240" w:after="240"/>
        <w:ind w:left="2160" w:hanging="175"/>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4.1 Preliminary concept lot layout</w:t>
      </w:r>
    </w:p>
    <w:p w:rsidR="00603B1E" w:rsidRPr="001F02FD" w:rsidRDefault="00B3600A" w:rsidP="00B3600A">
      <w:pPr>
        <w:pStyle w:val="ListParagraph"/>
        <w:spacing w:after="240"/>
        <w:ind w:left="2160" w:hanging="175"/>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4.2 </w:t>
      </w:r>
      <w:r w:rsidR="00E42878">
        <w:rPr>
          <w:rFonts w:asciiTheme="majorHAnsi" w:eastAsia="Times New Roman" w:hAnsiTheme="majorHAnsi" w:cs="Times New Roman"/>
          <w:color w:val="000000"/>
          <w:sz w:val="22"/>
          <w:szCs w:val="22"/>
          <w:lang w:eastAsia="en-AU"/>
        </w:rPr>
        <w:t xml:space="preserve">Preliminary </w:t>
      </w:r>
      <w:r w:rsidR="00603B1E" w:rsidRPr="001F02FD">
        <w:rPr>
          <w:rFonts w:asciiTheme="majorHAnsi" w:eastAsia="Times New Roman" w:hAnsiTheme="majorHAnsi" w:cs="Times New Roman"/>
          <w:color w:val="000000"/>
          <w:sz w:val="22"/>
          <w:szCs w:val="22"/>
          <w:lang w:eastAsia="en-AU"/>
        </w:rPr>
        <w:t>Aboriginal Heritage Assessment</w:t>
      </w:r>
      <w:r w:rsidR="00B218B7">
        <w:rPr>
          <w:rFonts w:asciiTheme="majorHAnsi" w:eastAsia="Times New Roman" w:hAnsiTheme="majorHAnsi" w:cs="Times New Roman"/>
          <w:color w:val="000000"/>
          <w:sz w:val="22"/>
          <w:szCs w:val="22"/>
          <w:lang w:eastAsia="en-AU"/>
        </w:rPr>
        <w:t xml:space="preserve"> </w:t>
      </w:r>
      <w:r w:rsidR="00B218B7" w:rsidRPr="00B218B7">
        <w:rPr>
          <w:rFonts w:asciiTheme="majorHAnsi" w:eastAsia="Times New Roman" w:hAnsiTheme="majorHAnsi" w:cs="Times New Roman"/>
          <w:i/>
          <w:color w:val="000000"/>
          <w:sz w:val="22"/>
          <w:szCs w:val="22"/>
          <w:lang w:eastAsia="en-AU"/>
        </w:rPr>
        <w:t>(attached separately)</w:t>
      </w:r>
    </w:p>
    <w:p w:rsidR="00603B1E" w:rsidRPr="001F02FD" w:rsidRDefault="00B3600A" w:rsidP="00B3600A">
      <w:pPr>
        <w:pStyle w:val="ListParagraph"/>
        <w:spacing w:before="240" w:after="240"/>
        <w:ind w:left="2160" w:hanging="175"/>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4.3 </w:t>
      </w:r>
      <w:r w:rsidR="00603B1E" w:rsidRPr="001F02FD">
        <w:rPr>
          <w:rFonts w:asciiTheme="majorHAnsi" w:eastAsia="Times New Roman" w:hAnsiTheme="majorHAnsi" w:cs="Times New Roman"/>
          <w:color w:val="000000"/>
          <w:sz w:val="22"/>
          <w:szCs w:val="22"/>
          <w:lang w:eastAsia="en-AU"/>
        </w:rPr>
        <w:t>Preliminary Site Contamination Assessment</w:t>
      </w:r>
      <w:r w:rsidR="00B218B7">
        <w:rPr>
          <w:rFonts w:asciiTheme="majorHAnsi" w:eastAsia="Times New Roman" w:hAnsiTheme="majorHAnsi" w:cs="Times New Roman"/>
          <w:color w:val="000000"/>
          <w:sz w:val="22"/>
          <w:szCs w:val="22"/>
          <w:lang w:eastAsia="en-AU"/>
        </w:rPr>
        <w:t xml:space="preserve"> </w:t>
      </w:r>
      <w:r w:rsidR="00B218B7" w:rsidRPr="00B218B7">
        <w:rPr>
          <w:rFonts w:asciiTheme="majorHAnsi" w:eastAsia="Times New Roman" w:hAnsiTheme="majorHAnsi" w:cs="Times New Roman"/>
          <w:i/>
          <w:color w:val="000000"/>
          <w:sz w:val="22"/>
          <w:szCs w:val="22"/>
          <w:lang w:eastAsia="en-AU"/>
        </w:rPr>
        <w:t>(attached separately)</w:t>
      </w:r>
    </w:p>
    <w:p w:rsidR="00603B1E" w:rsidRDefault="00B3600A" w:rsidP="00B3600A">
      <w:pPr>
        <w:pStyle w:val="ListParagraph"/>
        <w:spacing w:before="240" w:after="240"/>
        <w:ind w:left="2160" w:hanging="175"/>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4.4 </w:t>
      </w:r>
      <w:r w:rsidR="00603B1E" w:rsidRPr="001C0DC0">
        <w:rPr>
          <w:rFonts w:asciiTheme="majorHAnsi" w:eastAsia="Times New Roman" w:hAnsiTheme="majorHAnsi" w:cs="Times New Roman"/>
          <w:color w:val="000000"/>
          <w:sz w:val="22"/>
          <w:szCs w:val="22"/>
          <w:lang w:eastAsia="en-AU"/>
        </w:rPr>
        <w:t xml:space="preserve">Engineering Services Report </w:t>
      </w:r>
      <w:r w:rsidR="00B218B7" w:rsidRPr="00B218B7">
        <w:rPr>
          <w:rFonts w:asciiTheme="majorHAnsi" w:eastAsia="Times New Roman" w:hAnsiTheme="majorHAnsi" w:cs="Times New Roman"/>
          <w:i/>
          <w:color w:val="000000"/>
          <w:sz w:val="22"/>
          <w:szCs w:val="22"/>
          <w:lang w:eastAsia="en-AU"/>
        </w:rPr>
        <w:t>(attached separately)</w:t>
      </w:r>
    </w:p>
    <w:p w:rsidR="00603B1E" w:rsidRDefault="00603B1E" w:rsidP="00603B1E">
      <w:pPr>
        <w:pStyle w:val="ListParagraph"/>
        <w:tabs>
          <w:tab w:val="left" w:pos="709"/>
          <w:tab w:val="left" w:pos="1418"/>
          <w:tab w:val="left" w:pos="2268"/>
          <w:tab w:val="center" w:pos="4182"/>
          <w:tab w:val="left" w:pos="8227"/>
          <w:tab w:val="center" w:pos="8364"/>
        </w:tabs>
        <w:spacing w:after="0"/>
        <w:rPr>
          <w:rFonts w:asciiTheme="majorHAnsi" w:eastAsia="Times New Roman" w:hAnsiTheme="majorHAnsi" w:cs="Arial"/>
          <w:sz w:val="22"/>
          <w:szCs w:val="22"/>
          <w:lang w:eastAsia="en-AU"/>
        </w:rPr>
      </w:pPr>
    </w:p>
    <w:p w:rsidR="00490DE9" w:rsidRDefault="00490DE9" w:rsidP="00B30F8F">
      <w:pPr>
        <w:pStyle w:val="ListParagraph"/>
        <w:tabs>
          <w:tab w:val="left" w:pos="709"/>
          <w:tab w:val="left" w:pos="1418"/>
          <w:tab w:val="left" w:pos="2268"/>
          <w:tab w:val="center" w:pos="4182"/>
          <w:tab w:val="left" w:pos="8227"/>
          <w:tab w:val="center" w:pos="8364"/>
        </w:tabs>
        <w:spacing w:before="120" w:after="0" w:line="600" w:lineRule="auto"/>
        <w:rPr>
          <w:rFonts w:asciiTheme="majorHAnsi" w:eastAsia="Times New Roman" w:hAnsiTheme="majorHAnsi" w:cs="Arial"/>
          <w:sz w:val="22"/>
          <w:szCs w:val="22"/>
          <w:lang w:eastAsia="en-AU"/>
        </w:rPr>
      </w:pPr>
    </w:p>
    <w:p w:rsidR="008102A2" w:rsidRDefault="008102A2" w:rsidP="00B30F8F">
      <w:pPr>
        <w:pStyle w:val="ListParagraph"/>
        <w:tabs>
          <w:tab w:val="left" w:pos="709"/>
          <w:tab w:val="left" w:pos="1418"/>
          <w:tab w:val="left" w:pos="2268"/>
          <w:tab w:val="center" w:pos="4182"/>
          <w:tab w:val="left" w:pos="8227"/>
          <w:tab w:val="center" w:pos="8364"/>
        </w:tabs>
        <w:spacing w:before="120" w:after="0" w:line="600" w:lineRule="auto"/>
        <w:rPr>
          <w:rFonts w:asciiTheme="majorHAnsi" w:eastAsia="Times New Roman" w:hAnsiTheme="majorHAnsi" w:cs="Arial"/>
          <w:sz w:val="22"/>
          <w:szCs w:val="22"/>
          <w:lang w:eastAsia="en-AU"/>
        </w:rPr>
      </w:pPr>
    </w:p>
    <w:p w:rsidR="008102A2" w:rsidRDefault="008102A2" w:rsidP="00B30F8F">
      <w:pPr>
        <w:pStyle w:val="ListParagraph"/>
        <w:tabs>
          <w:tab w:val="left" w:pos="709"/>
          <w:tab w:val="left" w:pos="1418"/>
          <w:tab w:val="left" w:pos="2268"/>
          <w:tab w:val="center" w:pos="4182"/>
          <w:tab w:val="left" w:pos="8227"/>
          <w:tab w:val="center" w:pos="8364"/>
        </w:tabs>
        <w:spacing w:before="120" w:after="0" w:line="600" w:lineRule="auto"/>
        <w:rPr>
          <w:rFonts w:asciiTheme="majorHAnsi" w:eastAsia="Times New Roman" w:hAnsiTheme="majorHAnsi" w:cs="Arial"/>
          <w:sz w:val="22"/>
          <w:szCs w:val="22"/>
          <w:lang w:eastAsia="en-AU"/>
        </w:rPr>
      </w:pPr>
    </w:p>
    <w:p w:rsidR="008102A2" w:rsidRDefault="008102A2" w:rsidP="00B30F8F">
      <w:pPr>
        <w:pStyle w:val="ListParagraph"/>
        <w:tabs>
          <w:tab w:val="left" w:pos="709"/>
          <w:tab w:val="left" w:pos="1418"/>
          <w:tab w:val="left" w:pos="2268"/>
          <w:tab w:val="center" w:pos="4182"/>
          <w:tab w:val="left" w:pos="8227"/>
          <w:tab w:val="center" w:pos="8364"/>
        </w:tabs>
        <w:spacing w:before="120" w:after="0" w:line="600" w:lineRule="auto"/>
        <w:rPr>
          <w:rFonts w:asciiTheme="majorHAnsi" w:eastAsia="Times New Roman" w:hAnsiTheme="majorHAnsi" w:cs="Arial"/>
          <w:sz w:val="22"/>
          <w:szCs w:val="22"/>
          <w:lang w:eastAsia="en-AU"/>
        </w:rPr>
      </w:pPr>
    </w:p>
    <w:p w:rsidR="009757DA" w:rsidRPr="00EE3E3C" w:rsidRDefault="009757DA" w:rsidP="00D02481">
      <w:pPr>
        <w:pBdr>
          <w:bottom w:val="single" w:sz="12" w:space="1" w:color="0F243E" w:themeColor="text2" w:themeShade="80"/>
        </w:pBdr>
        <w:spacing w:after="0"/>
        <w:rPr>
          <w:rFonts w:ascii="Trebuchet MS" w:eastAsia="Times New Roman" w:hAnsi="Trebuchet MS" w:cs="Times New Roman"/>
          <w:b/>
          <w:caps/>
          <w:color w:val="000000"/>
          <w:lang w:eastAsia="en-AU"/>
        </w:rPr>
      </w:pPr>
      <w:r w:rsidRPr="00C5403F">
        <w:rPr>
          <w:rFonts w:ascii="Trebuchet MS" w:eastAsia="Times New Roman" w:hAnsi="Trebuchet MS" w:cs="Times New Roman"/>
          <w:b/>
          <w:caps/>
          <w:color w:val="000000"/>
          <w:lang w:eastAsia="en-AU"/>
        </w:rPr>
        <w:lastRenderedPageBreak/>
        <w:t>1</w:t>
      </w:r>
      <w:r w:rsidRPr="00C5403F">
        <w:rPr>
          <w:rFonts w:ascii="Trebuchet MS" w:eastAsia="Times New Roman" w:hAnsi="Trebuchet MS" w:cs="Times New Roman"/>
          <w:b/>
          <w:caps/>
          <w:color w:val="000000"/>
          <w:lang w:eastAsia="en-AU"/>
        </w:rPr>
        <w:tab/>
        <w:t>Intro</w:t>
      </w:r>
      <w:bookmarkStart w:id="1" w:name="intro_1"/>
      <w:bookmarkEnd w:id="1"/>
      <w:r w:rsidRPr="00C5403F">
        <w:rPr>
          <w:rFonts w:ascii="Trebuchet MS" w:eastAsia="Times New Roman" w:hAnsi="Trebuchet MS" w:cs="Times New Roman"/>
          <w:b/>
          <w:caps/>
          <w:color w:val="000000"/>
          <w:lang w:eastAsia="en-AU"/>
        </w:rPr>
        <w:t>duction</w:t>
      </w:r>
    </w:p>
    <w:p w:rsidR="009757DA" w:rsidRPr="00C74987" w:rsidRDefault="009757DA" w:rsidP="009757DA">
      <w:pPr>
        <w:widowControl w:val="0"/>
        <w:suppressAutoHyphens/>
        <w:autoSpaceDE w:val="0"/>
        <w:autoSpaceDN w:val="0"/>
        <w:adjustRightInd w:val="0"/>
        <w:spacing w:after="0" w:line="300" w:lineRule="atLeast"/>
        <w:textAlignment w:val="center"/>
        <w:rPr>
          <w:rFonts w:asciiTheme="majorHAnsi" w:hAnsiTheme="majorHAnsi" w:cs="MBembo"/>
          <w:color w:val="000000"/>
          <w:sz w:val="22"/>
          <w:szCs w:val="22"/>
          <w:lang w:val="en-GB"/>
        </w:rPr>
      </w:pPr>
    </w:p>
    <w:p w:rsidR="00BA3CAC" w:rsidRPr="00C74987" w:rsidRDefault="00BA3CAC"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 xml:space="preserve">This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 has been prepared in accordance with Section 55 of the </w:t>
      </w:r>
      <w:r w:rsidRPr="00C74987">
        <w:rPr>
          <w:rFonts w:asciiTheme="majorHAnsi" w:eastAsia="Times New Roman" w:hAnsiTheme="majorHAnsi" w:cs="Times New Roman"/>
          <w:i/>
          <w:color w:val="000000"/>
          <w:sz w:val="22"/>
          <w:szCs w:val="22"/>
          <w:lang w:eastAsia="en-AU"/>
        </w:rPr>
        <w:t xml:space="preserve">Environmental Planning and Assessment Act 1979 </w:t>
      </w:r>
      <w:r w:rsidRPr="00C74987">
        <w:rPr>
          <w:rFonts w:asciiTheme="majorHAnsi" w:eastAsia="Times New Roman" w:hAnsiTheme="majorHAnsi" w:cs="Times New Roman"/>
          <w:color w:val="000000"/>
          <w:sz w:val="22"/>
          <w:szCs w:val="22"/>
          <w:lang w:eastAsia="en-AU"/>
        </w:rPr>
        <w:t xml:space="preserve">and the relevant guidelines published by </w:t>
      </w:r>
      <w:r w:rsidR="0090431E" w:rsidRPr="00C74987">
        <w:rPr>
          <w:rFonts w:asciiTheme="majorHAnsi" w:eastAsia="Times New Roman" w:hAnsiTheme="majorHAnsi" w:cs="Times New Roman"/>
          <w:color w:val="000000"/>
          <w:sz w:val="22"/>
          <w:szCs w:val="22"/>
          <w:lang w:eastAsia="en-AU"/>
        </w:rPr>
        <w:t xml:space="preserve">the </w:t>
      </w:r>
      <w:r w:rsidRPr="00C74987">
        <w:rPr>
          <w:rFonts w:asciiTheme="majorHAnsi" w:eastAsia="Times New Roman" w:hAnsiTheme="majorHAnsi" w:cs="Times New Roman"/>
          <w:color w:val="000000"/>
          <w:sz w:val="22"/>
          <w:szCs w:val="22"/>
          <w:lang w:eastAsia="en-AU"/>
        </w:rPr>
        <w:t xml:space="preserve">NSW </w:t>
      </w:r>
      <w:r w:rsidR="0090431E" w:rsidRPr="00C74987">
        <w:rPr>
          <w:rFonts w:asciiTheme="majorHAnsi" w:eastAsia="Times New Roman" w:hAnsiTheme="majorHAnsi" w:cs="Times New Roman"/>
          <w:color w:val="000000"/>
          <w:sz w:val="22"/>
          <w:szCs w:val="22"/>
          <w:lang w:eastAsia="en-AU"/>
        </w:rPr>
        <w:t xml:space="preserve">Department of </w:t>
      </w:r>
      <w:r w:rsidRPr="00C74987">
        <w:rPr>
          <w:rFonts w:asciiTheme="majorHAnsi" w:eastAsia="Times New Roman" w:hAnsiTheme="majorHAnsi" w:cs="Times New Roman"/>
          <w:color w:val="000000"/>
          <w:sz w:val="22"/>
          <w:szCs w:val="22"/>
          <w:lang w:eastAsia="en-AU"/>
        </w:rPr>
        <w:t>Planning &amp; Environment</w:t>
      </w:r>
      <w:r w:rsidR="0090431E" w:rsidRPr="00C74987">
        <w:rPr>
          <w:rFonts w:asciiTheme="majorHAnsi" w:eastAsia="Times New Roman" w:hAnsiTheme="majorHAnsi" w:cs="Times New Roman"/>
          <w:color w:val="000000"/>
          <w:sz w:val="22"/>
          <w:szCs w:val="22"/>
          <w:lang w:eastAsia="en-AU"/>
        </w:rPr>
        <w:t xml:space="preserve"> (DP&amp;E)</w:t>
      </w:r>
      <w:r w:rsidRPr="00C74987">
        <w:rPr>
          <w:rFonts w:asciiTheme="majorHAnsi" w:eastAsia="Times New Roman" w:hAnsiTheme="majorHAnsi" w:cs="Times New Roman"/>
          <w:color w:val="000000"/>
          <w:sz w:val="22"/>
          <w:szCs w:val="22"/>
          <w:lang w:eastAsia="en-AU"/>
        </w:rPr>
        <w:t xml:space="preserve">, including “A guide to preparing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s (October 2012)”. </w:t>
      </w:r>
    </w:p>
    <w:p w:rsidR="00BA3CAC" w:rsidRPr="00C74987" w:rsidRDefault="00BA3CAC"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p>
    <w:p w:rsidR="00BA3CAC" w:rsidRDefault="00BA3CAC"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 xml:space="preserve">This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 explains the intended effect of the rezoning of Lot 1 DP </w:t>
      </w:r>
      <w:r w:rsidR="00C74987" w:rsidRPr="00C74987">
        <w:rPr>
          <w:rFonts w:asciiTheme="majorHAnsi" w:eastAsia="Times New Roman" w:hAnsiTheme="majorHAnsi" w:cs="Times New Roman"/>
          <w:color w:val="000000"/>
          <w:sz w:val="22"/>
          <w:szCs w:val="22"/>
          <w:lang w:eastAsia="en-AU"/>
        </w:rPr>
        <w:t>323945</w:t>
      </w:r>
      <w:r w:rsidRPr="00C74987">
        <w:rPr>
          <w:rFonts w:asciiTheme="majorHAnsi" w:eastAsia="Times New Roman" w:hAnsiTheme="majorHAnsi" w:cs="Times New Roman"/>
          <w:color w:val="000000"/>
          <w:sz w:val="22"/>
          <w:szCs w:val="22"/>
          <w:lang w:eastAsia="en-AU"/>
        </w:rPr>
        <w:t xml:space="preserve">, Yarrawa Road, </w:t>
      </w:r>
      <w:proofErr w:type="gramStart"/>
      <w:r w:rsidRPr="00C74987">
        <w:rPr>
          <w:rFonts w:asciiTheme="majorHAnsi" w:eastAsia="Times New Roman" w:hAnsiTheme="majorHAnsi" w:cs="Times New Roman"/>
          <w:color w:val="000000"/>
          <w:sz w:val="22"/>
          <w:szCs w:val="22"/>
          <w:lang w:eastAsia="en-AU"/>
        </w:rPr>
        <w:t>Denman</w:t>
      </w:r>
      <w:proofErr w:type="gramEnd"/>
      <w:r w:rsidRPr="00C74987">
        <w:rPr>
          <w:rFonts w:asciiTheme="majorHAnsi" w:eastAsia="Times New Roman" w:hAnsiTheme="majorHAnsi" w:cs="Times New Roman"/>
          <w:color w:val="000000"/>
          <w:sz w:val="22"/>
          <w:szCs w:val="22"/>
          <w:lang w:eastAsia="en-AU"/>
        </w:rPr>
        <w:t xml:space="preserve"> for large lot residential purposes, and provides justification for the proposed amendment to Muswellbrook Local Environmental Plan (LEP) 2009.</w:t>
      </w:r>
    </w:p>
    <w:p w:rsidR="00AD290A" w:rsidRDefault="00AD290A"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p>
    <w:p w:rsidR="00C16FED" w:rsidRDefault="00773319"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The Gateway </w:t>
      </w:r>
      <w:r w:rsidR="00EF1DC3">
        <w:rPr>
          <w:rFonts w:asciiTheme="majorHAnsi" w:eastAsia="Times New Roman" w:hAnsiTheme="majorHAnsi" w:cs="Times New Roman"/>
          <w:color w:val="000000"/>
          <w:sz w:val="22"/>
          <w:szCs w:val="22"/>
          <w:lang w:eastAsia="en-AU"/>
        </w:rPr>
        <w:t xml:space="preserve">Determination </w:t>
      </w:r>
      <w:r>
        <w:rPr>
          <w:rFonts w:asciiTheme="majorHAnsi" w:eastAsia="Times New Roman" w:hAnsiTheme="majorHAnsi" w:cs="Times New Roman"/>
          <w:color w:val="000000"/>
          <w:sz w:val="22"/>
          <w:szCs w:val="22"/>
          <w:lang w:eastAsia="en-AU"/>
        </w:rPr>
        <w:t>was issued by DP&amp;E on 21 October 2014</w:t>
      </w:r>
      <w:r w:rsidR="00B30F8F">
        <w:rPr>
          <w:rFonts w:asciiTheme="majorHAnsi" w:eastAsia="Times New Roman" w:hAnsiTheme="majorHAnsi" w:cs="Times New Roman"/>
          <w:color w:val="000000"/>
          <w:sz w:val="22"/>
          <w:szCs w:val="22"/>
          <w:lang w:eastAsia="en-AU"/>
        </w:rPr>
        <w:t xml:space="preserve"> (</w:t>
      </w:r>
      <w:r w:rsidR="00B30F8F" w:rsidRPr="00B30F8F">
        <w:rPr>
          <w:rFonts w:asciiTheme="majorHAnsi" w:eastAsia="Times New Roman" w:hAnsiTheme="majorHAnsi" w:cs="Times New Roman"/>
          <w:b/>
          <w:color w:val="000000"/>
          <w:sz w:val="22"/>
          <w:szCs w:val="22"/>
          <w:lang w:eastAsia="en-AU"/>
        </w:rPr>
        <w:t>Appendix 2</w:t>
      </w:r>
      <w:r w:rsidR="00B30F8F">
        <w:rPr>
          <w:rFonts w:asciiTheme="majorHAnsi" w:eastAsia="Times New Roman" w:hAnsiTheme="majorHAnsi" w:cs="Times New Roman"/>
          <w:color w:val="000000"/>
          <w:sz w:val="22"/>
          <w:szCs w:val="22"/>
          <w:lang w:eastAsia="en-AU"/>
        </w:rPr>
        <w:t>)</w:t>
      </w:r>
      <w:r>
        <w:rPr>
          <w:rFonts w:asciiTheme="majorHAnsi" w:eastAsia="Times New Roman" w:hAnsiTheme="majorHAnsi" w:cs="Times New Roman"/>
          <w:color w:val="000000"/>
          <w:sz w:val="22"/>
          <w:szCs w:val="22"/>
          <w:lang w:eastAsia="en-AU"/>
        </w:rPr>
        <w:t xml:space="preserve">.  The Gateway conditions required consultation with Department of Primary Industries (Agricultural NSW), Office of Environment and Heritage, Wanaruah Aboriginal Land Council, NSW Resources and Energy and Mines Subsidence Board. </w:t>
      </w:r>
      <w:r w:rsidR="0007330E">
        <w:rPr>
          <w:rFonts w:asciiTheme="majorHAnsi" w:eastAsia="Times New Roman" w:hAnsiTheme="majorHAnsi" w:cs="Times New Roman"/>
          <w:color w:val="000000"/>
          <w:sz w:val="22"/>
          <w:szCs w:val="22"/>
          <w:lang w:eastAsia="en-AU"/>
        </w:rPr>
        <w:t xml:space="preserve"> The outcome</w:t>
      </w:r>
      <w:r w:rsidR="00EF1DC3">
        <w:rPr>
          <w:rFonts w:asciiTheme="majorHAnsi" w:eastAsia="Times New Roman" w:hAnsiTheme="majorHAnsi" w:cs="Times New Roman"/>
          <w:color w:val="000000"/>
          <w:sz w:val="22"/>
          <w:szCs w:val="22"/>
          <w:lang w:eastAsia="en-AU"/>
        </w:rPr>
        <w:t>s</w:t>
      </w:r>
      <w:r w:rsidR="0007330E">
        <w:rPr>
          <w:rFonts w:asciiTheme="majorHAnsi" w:eastAsia="Times New Roman" w:hAnsiTheme="majorHAnsi" w:cs="Times New Roman"/>
          <w:color w:val="000000"/>
          <w:sz w:val="22"/>
          <w:szCs w:val="22"/>
          <w:lang w:eastAsia="en-AU"/>
        </w:rPr>
        <w:t xml:space="preserve"> of </w:t>
      </w:r>
      <w:r w:rsidR="00EF1DC3">
        <w:rPr>
          <w:rFonts w:asciiTheme="majorHAnsi" w:eastAsia="Times New Roman" w:hAnsiTheme="majorHAnsi" w:cs="Times New Roman"/>
          <w:color w:val="000000"/>
          <w:sz w:val="22"/>
          <w:szCs w:val="22"/>
          <w:lang w:eastAsia="en-AU"/>
        </w:rPr>
        <w:t xml:space="preserve">community consultation and public </w:t>
      </w:r>
      <w:proofErr w:type="gramStart"/>
      <w:r w:rsidR="00EF1DC3">
        <w:rPr>
          <w:rFonts w:asciiTheme="majorHAnsi" w:eastAsia="Times New Roman" w:hAnsiTheme="majorHAnsi" w:cs="Times New Roman"/>
          <w:color w:val="000000"/>
          <w:sz w:val="22"/>
          <w:szCs w:val="22"/>
          <w:lang w:eastAsia="en-AU"/>
        </w:rPr>
        <w:t>authorities</w:t>
      </w:r>
      <w:proofErr w:type="gramEnd"/>
      <w:r w:rsidR="00EF1DC3">
        <w:rPr>
          <w:rFonts w:asciiTheme="majorHAnsi" w:eastAsia="Times New Roman" w:hAnsiTheme="majorHAnsi" w:cs="Times New Roman"/>
          <w:color w:val="000000"/>
          <w:sz w:val="22"/>
          <w:szCs w:val="22"/>
          <w:lang w:eastAsia="en-AU"/>
        </w:rPr>
        <w:t xml:space="preserve"> </w:t>
      </w:r>
      <w:r w:rsidR="0007330E">
        <w:rPr>
          <w:rFonts w:asciiTheme="majorHAnsi" w:eastAsia="Times New Roman" w:hAnsiTheme="majorHAnsi" w:cs="Times New Roman"/>
          <w:color w:val="000000"/>
          <w:sz w:val="22"/>
          <w:szCs w:val="22"/>
          <w:lang w:eastAsia="en-AU"/>
        </w:rPr>
        <w:t xml:space="preserve">consultation </w:t>
      </w:r>
      <w:r w:rsidR="00EF1DC3">
        <w:rPr>
          <w:rFonts w:asciiTheme="majorHAnsi" w:eastAsia="Times New Roman" w:hAnsiTheme="majorHAnsi" w:cs="Times New Roman"/>
          <w:color w:val="000000"/>
          <w:sz w:val="22"/>
          <w:szCs w:val="22"/>
          <w:lang w:eastAsia="en-AU"/>
        </w:rPr>
        <w:t xml:space="preserve">are </w:t>
      </w:r>
      <w:r w:rsidR="0007330E">
        <w:rPr>
          <w:rFonts w:asciiTheme="majorHAnsi" w:eastAsia="Times New Roman" w:hAnsiTheme="majorHAnsi" w:cs="Times New Roman"/>
          <w:color w:val="000000"/>
          <w:sz w:val="22"/>
          <w:szCs w:val="22"/>
          <w:lang w:eastAsia="en-AU"/>
        </w:rPr>
        <w:t xml:space="preserve">detailed in Section </w:t>
      </w:r>
      <w:r w:rsidR="00C16FED">
        <w:rPr>
          <w:rFonts w:asciiTheme="majorHAnsi" w:eastAsia="Times New Roman" w:hAnsiTheme="majorHAnsi" w:cs="Times New Roman"/>
          <w:color w:val="000000"/>
          <w:sz w:val="22"/>
          <w:szCs w:val="22"/>
          <w:lang w:eastAsia="en-AU"/>
        </w:rPr>
        <w:t>3</w:t>
      </w:r>
      <w:r w:rsidR="00EF1DC3">
        <w:rPr>
          <w:rFonts w:asciiTheme="majorHAnsi" w:eastAsia="Times New Roman" w:hAnsiTheme="majorHAnsi" w:cs="Times New Roman"/>
          <w:color w:val="000000"/>
          <w:sz w:val="22"/>
          <w:szCs w:val="22"/>
          <w:lang w:eastAsia="en-AU"/>
        </w:rPr>
        <w:t xml:space="preserve"> o</w:t>
      </w:r>
      <w:r w:rsidR="00C16FED">
        <w:rPr>
          <w:rFonts w:asciiTheme="majorHAnsi" w:eastAsia="Times New Roman" w:hAnsiTheme="majorHAnsi" w:cs="Times New Roman"/>
          <w:color w:val="000000"/>
          <w:sz w:val="22"/>
          <w:szCs w:val="22"/>
          <w:lang w:eastAsia="en-AU"/>
        </w:rPr>
        <w:t xml:space="preserve">f this report and copies of the </w:t>
      </w:r>
      <w:r w:rsidR="00B30F8F">
        <w:rPr>
          <w:rFonts w:asciiTheme="majorHAnsi" w:eastAsia="Times New Roman" w:hAnsiTheme="majorHAnsi" w:cs="Times New Roman"/>
          <w:color w:val="000000"/>
          <w:sz w:val="22"/>
          <w:szCs w:val="22"/>
          <w:lang w:eastAsia="en-AU"/>
        </w:rPr>
        <w:t xml:space="preserve">submissions are included in </w:t>
      </w:r>
      <w:r w:rsidR="00B30F8F" w:rsidRPr="00B30F8F">
        <w:rPr>
          <w:rFonts w:asciiTheme="majorHAnsi" w:eastAsia="Times New Roman" w:hAnsiTheme="majorHAnsi" w:cs="Times New Roman"/>
          <w:b/>
          <w:color w:val="000000"/>
          <w:sz w:val="22"/>
          <w:szCs w:val="22"/>
          <w:lang w:eastAsia="en-AU"/>
        </w:rPr>
        <w:t>Appendix 3</w:t>
      </w:r>
      <w:r w:rsidR="00C16FED">
        <w:rPr>
          <w:rFonts w:asciiTheme="majorHAnsi" w:eastAsia="Times New Roman" w:hAnsiTheme="majorHAnsi" w:cs="Times New Roman"/>
          <w:color w:val="000000"/>
          <w:sz w:val="22"/>
          <w:szCs w:val="22"/>
          <w:lang w:eastAsia="en-AU"/>
        </w:rPr>
        <w:t>.</w:t>
      </w:r>
      <w:r w:rsidR="0007330E">
        <w:rPr>
          <w:rFonts w:asciiTheme="majorHAnsi" w:eastAsia="Times New Roman" w:hAnsiTheme="majorHAnsi" w:cs="Times New Roman"/>
          <w:color w:val="000000"/>
          <w:sz w:val="22"/>
          <w:szCs w:val="22"/>
          <w:lang w:eastAsia="en-AU"/>
        </w:rPr>
        <w:t xml:space="preserve"> </w:t>
      </w:r>
      <w:r w:rsidR="00F272CE">
        <w:rPr>
          <w:rFonts w:asciiTheme="majorHAnsi" w:eastAsia="Times New Roman" w:hAnsiTheme="majorHAnsi" w:cs="Times New Roman"/>
          <w:color w:val="000000"/>
          <w:sz w:val="22"/>
          <w:szCs w:val="22"/>
          <w:lang w:eastAsia="en-AU"/>
        </w:rPr>
        <w:t xml:space="preserve"> </w:t>
      </w:r>
      <w:r w:rsidR="00C16FED">
        <w:rPr>
          <w:rFonts w:asciiTheme="majorHAnsi" w:eastAsia="Times New Roman" w:hAnsiTheme="majorHAnsi" w:cs="Times New Roman"/>
          <w:color w:val="000000"/>
          <w:sz w:val="22"/>
          <w:szCs w:val="22"/>
          <w:lang w:eastAsia="en-AU"/>
        </w:rPr>
        <w:t>A number of specialist studies were commissioned and copies of these st</w:t>
      </w:r>
      <w:r w:rsidR="00B30F8F">
        <w:rPr>
          <w:rFonts w:asciiTheme="majorHAnsi" w:eastAsia="Times New Roman" w:hAnsiTheme="majorHAnsi" w:cs="Times New Roman"/>
          <w:color w:val="000000"/>
          <w:sz w:val="22"/>
          <w:szCs w:val="22"/>
          <w:lang w:eastAsia="en-AU"/>
        </w:rPr>
        <w:t xml:space="preserve">udies are included in </w:t>
      </w:r>
      <w:r w:rsidR="00B30F8F" w:rsidRPr="00B30F8F">
        <w:rPr>
          <w:rFonts w:asciiTheme="majorHAnsi" w:eastAsia="Times New Roman" w:hAnsiTheme="majorHAnsi" w:cs="Times New Roman"/>
          <w:b/>
          <w:color w:val="000000"/>
          <w:sz w:val="22"/>
          <w:szCs w:val="22"/>
          <w:lang w:eastAsia="en-AU"/>
        </w:rPr>
        <w:t>Appendix 4</w:t>
      </w:r>
      <w:r w:rsidR="00C16FED">
        <w:rPr>
          <w:rFonts w:asciiTheme="majorHAnsi" w:eastAsia="Times New Roman" w:hAnsiTheme="majorHAnsi" w:cs="Times New Roman"/>
          <w:color w:val="000000"/>
          <w:sz w:val="22"/>
          <w:szCs w:val="22"/>
          <w:lang w:eastAsia="en-AU"/>
        </w:rPr>
        <w:t xml:space="preserve">. </w:t>
      </w:r>
    </w:p>
    <w:p w:rsidR="00010BA5" w:rsidRDefault="00010BA5"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p>
    <w:p w:rsidR="00010BA5" w:rsidRDefault="00010BA5" w:rsidP="00EB2712">
      <w:pPr>
        <w:pBdr>
          <w:bottom w:val="single" w:sz="12" w:space="1" w:color="0F243E" w:themeColor="text2" w:themeShade="80"/>
        </w:pBdr>
        <w:spacing w:before="120" w:after="120"/>
        <w:jc w:val="both"/>
        <w:rPr>
          <w:rFonts w:asciiTheme="majorHAnsi" w:eastAsia="Times New Roman" w:hAnsiTheme="majorHAnsi" w:cs="Times New Roman"/>
          <w:color w:val="000000"/>
          <w:sz w:val="22"/>
          <w:szCs w:val="22"/>
          <w:lang w:eastAsia="en-AU"/>
        </w:rPr>
      </w:pPr>
      <w:r w:rsidRPr="00010BA5">
        <w:rPr>
          <w:rFonts w:asciiTheme="majorHAnsi" w:eastAsia="Times New Roman" w:hAnsiTheme="majorHAnsi" w:cs="Times New Roman"/>
          <w:color w:val="000000"/>
          <w:sz w:val="22"/>
          <w:szCs w:val="22"/>
          <w:lang w:eastAsia="en-AU"/>
        </w:rPr>
        <w:t>At its ordinary meeting</w:t>
      </w:r>
      <w:r w:rsidR="00C97C36">
        <w:rPr>
          <w:rFonts w:asciiTheme="majorHAnsi" w:eastAsia="Times New Roman" w:hAnsiTheme="majorHAnsi" w:cs="Times New Roman"/>
          <w:color w:val="000000"/>
          <w:sz w:val="22"/>
          <w:szCs w:val="22"/>
          <w:lang w:eastAsia="en-AU"/>
        </w:rPr>
        <w:t xml:space="preserve"> held</w:t>
      </w:r>
      <w:r w:rsidRPr="00010BA5">
        <w:rPr>
          <w:rFonts w:asciiTheme="majorHAnsi" w:eastAsia="Times New Roman" w:hAnsiTheme="majorHAnsi" w:cs="Times New Roman"/>
          <w:color w:val="000000"/>
          <w:sz w:val="22"/>
          <w:szCs w:val="22"/>
          <w:lang w:eastAsia="en-AU"/>
        </w:rPr>
        <w:t xml:space="preserve"> on </w:t>
      </w:r>
      <w:r>
        <w:rPr>
          <w:rFonts w:asciiTheme="majorHAnsi" w:eastAsia="Times New Roman" w:hAnsiTheme="majorHAnsi" w:cs="Times New Roman"/>
          <w:color w:val="000000"/>
          <w:sz w:val="22"/>
          <w:szCs w:val="22"/>
          <w:lang w:eastAsia="en-AU"/>
        </w:rPr>
        <w:t xml:space="preserve">9 November </w:t>
      </w:r>
      <w:r w:rsidRPr="00010BA5">
        <w:rPr>
          <w:rFonts w:asciiTheme="majorHAnsi" w:eastAsia="Times New Roman" w:hAnsiTheme="majorHAnsi" w:cs="Times New Roman"/>
          <w:color w:val="000000"/>
          <w:sz w:val="22"/>
          <w:szCs w:val="22"/>
          <w:lang w:eastAsia="en-AU"/>
        </w:rPr>
        <w:t xml:space="preserve">2015, Council considered a report in relation to the </w:t>
      </w:r>
      <w:r>
        <w:rPr>
          <w:rFonts w:asciiTheme="majorHAnsi" w:eastAsia="Times New Roman" w:hAnsiTheme="majorHAnsi" w:cs="Times New Roman"/>
          <w:color w:val="000000"/>
          <w:sz w:val="22"/>
          <w:szCs w:val="22"/>
          <w:lang w:eastAsia="en-AU"/>
        </w:rPr>
        <w:t xml:space="preserve">above Planning Proposal </w:t>
      </w:r>
      <w:r w:rsidRPr="00010BA5">
        <w:rPr>
          <w:rFonts w:asciiTheme="majorHAnsi" w:eastAsia="Times New Roman" w:hAnsiTheme="majorHAnsi" w:cs="Times New Roman"/>
          <w:color w:val="000000"/>
          <w:sz w:val="22"/>
          <w:szCs w:val="22"/>
          <w:lang w:eastAsia="en-AU"/>
        </w:rPr>
        <w:t>and resolved that</w:t>
      </w:r>
      <w:r>
        <w:rPr>
          <w:rFonts w:asciiTheme="majorHAnsi" w:eastAsia="Times New Roman" w:hAnsiTheme="majorHAnsi" w:cs="Times New Roman"/>
          <w:color w:val="000000"/>
          <w:sz w:val="22"/>
          <w:szCs w:val="22"/>
          <w:lang w:eastAsia="en-AU"/>
        </w:rPr>
        <w:t>:</w:t>
      </w:r>
    </w:p>
    <w:p w:rsidR="00010BA5" w:rsidRPr="00EB2712" w:rsidRDefault="00EB2712" w:rsidP="00EB2712">
      <w:pPr>
        <w:pBdr>
          <w:bottom w:val="single" w:sz="12" w:space="1" w:color="0F243E" w:themeColor="text2" w:themeShade="80"/>
        </w:pBdr>
        <w:spacing w:before="120" w:after="120"/>
        <w:ind w:left="426" w:hanging="426"/>
        <w:jc w:val="both"/>
        <w:rPr>
          <w:rFonts w:asciiTheme="majorHAnsi" w:eastAsia="Times New Roman" w:hAnsiTheme="majorHAnsi" w:cs="Times New Roman"/>
          <w:i/>
          <w:color w:val="000000"/>
          <w:sz w:val="20"/>
          <w:szCs w:val="22"/>
          <w:lang w:eastAsia="en-AU"/>
        </w:rPr>
      </w:pP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1</w:t>
      </w: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 The Department of Planning &amp; Environment be requested to commence legal drafting of the instrument and making of draft Muswellbrook Local Environmental Plan 2009 Amendment No. 08.</w:t>
      </w:r>
    </w:p>
    <w:p w:rsidR="00010BA5" w:rsidRPr="00EB2712" w:rsidRDefault="00EB2712" w:rsidP="00EB2712">
      <w:pPr>
        <w:pBdr>
          <w:bottom w:val="single" w:sz="12" w:space="1" w:color="0F243E" w:themeColor="text2" w:themeShade="80"/>
        </w:pBdr>
        <w:spacing w:before="120" w:after="120"/>
        <w:ind w:left="426" w:hanging="426"/>
        <w:jc w:val="both"/>
        <w:rPr>
          <w:rFonts w:asciiTheme="majorHAnsi" w:eastAsia="Times New Roman" w:hAnsiTheme="majorHAnsi" w:cs="Times New Roman"/>
          <w:i/>
          <w:color w:val="000000"/>
          <w:sz w:val="20"/>
          <w:szCs w:val="22"/>
          <w:lang w:eastAsia="en-AU"/>
        </w:rPr>
      </w:pP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2</w:t>
      </w: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 Council advises the proponent to undertake a comprehensive cultural heritage assessment in consultation with the Wanaruah Local Aboriginal Land Council and Office of Environment and Heritage, following the rezoning process and prior to any future development planning of the site.</w:t>
      </w:r>
    </w:p>
    <w:p w:rsidR="00010BA5" w:rsidRPr="00EB2712" w:rsidRDefault="00EB2712" w:rsidP="00EB2712">
      <w:pPr>
        <w:pBdr>
          <w:bottom w:val="single" w:sz="12" w:space="1" w:color="0F243E" w:themeColor="text2" w:themeShade="80"/>
        </w:pBdr>
        <w:spacing w:before="120" w:after="120"/>
        <w:ind w:left="426" w:hanging="426"/>
        <w:jc w:val="both"/>
        <w:rPr>
          <w:rFonts w:asciiTheme="majorHAnsi" w:eastAsia="Times New Roman" w:hAnsiTheme="majorHAnsi" w:cs="Times New Roman"/>
          <w:i/>
          <w:color w:val="000000"/>
          <w:sz w:val="20"/>
          <w:szCs w:val="22"/>
          <w:lang w:eastAsia="en-AU"/>
        </w:rPr>
      </w:pP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3</w:t>
      </w:r>
      <w:r w:rsidRPr="00EB2712">
        <w:rPr>
          <w:rFonts w:asciiTheme="majorHAnsi" w:eastAsia="Times New Roman" w:hAnsiTheme="majorHAnsi" w:cs="Times New Roman"/>
          <w:i/>
          <w:color w:val="000000"/>
          <w:sz w:val="20"/>
          <w:szCs w:val="22"/>
          <w:lang w:eastAsia="en-AU"/>
        </w:rPr>
        <w:t>)</w:t>
      </w:r>
      <w:r w:rsidR="00010BA5" w:rsidRPr="00EB2712">
        <w:rPr>
          <w:rFonts w:asciiTheme="majorHAnsi" w:eastAsia="Times New Roman" w:hAnsiTheme="majorHAnsi" w:cs="Times New Roman"/>
          <w:i/>
          <w:color w:val="000000"/>
          <w:sz w:val="20"/>
          <w:szCs w:val="22"/>
          <w:lang w:eastAsia="en-AU"/>
        </w:rPr>
        <w:t xml:space="preserve">. Prior to commencing legal drafting of the instrument, amend Planning Proposal to identify the subject land as an Urban Release </w:t>
      </w:r>
      <w:r w:rsidR="00DE5DB7">
        <w:rPr>
          <w:rFonts w:asciiTheme="majorHAnsi" w:eastAsia="Times New Roman" w:hAnsiTheme="majorHAnsi" w:cs="Times New Roman"/>
          <w:i/>
          <w:color w:val="000000"/>
          <w:sz w:val="20"/>
          <w:szCs w:val="22"/>
          <w:lang w:eastAsia="en-AU"/>
        </w:rPr>
        <w:t>A</w:t>
      </w:r>
      <w:r w:rsidR="00010BA5" w:rsidRPr="00EB2712">
        <w:rPr>
          <w:rFonts w:asciiTheme="majorHAnsi" w:eastAsia="Times New Roman" w:hAnsiTheme="majorHAnsi" w:cs="Times New Roman"/>
          <w:i/>
          <w:color w:val="000000"/>
          <w:sz w:val="20"/>
          <w:szCs w:val="22"/>
          <w:lang w:eastAsia="en-AU"/>
        </w:rPr>
        <w:t>rea.</w:t>
      </w:r>
    </w:p>
    <w:p w:rsidR="00010BA5" w:rsidRDefault="00010BA5" w:rsidP="00EB2712">
      <w:pPr>
        <w:pBdr>
          <w:bottom w:val="single" w:sz="12" w:space="1" w:color="0F243E" w:themeColor="text2" w:themeShade="80"/>
        </w:pBdr>
        <w:spacing w:before="120" w:after="120"/>
        <w:jc w:val="both"/>
        <w:rPr>
          <w:rFonts w:asciiTheme="majorHAnsi" w:eastAsia="Times New Roman" w:hAnsiTheme="majorHAnsi" w:cs="Times New Roman"/>
          <w:color w:val="000000"/>
          <w:sz w:val="22"/>
          <w:szCs w:val="22"/>
          <w:lang w:eastAsia="en-AU"/>
        </w:rPr>
      </w:pPr>
      <w:r w:rsidRPr="00010BA5">
        <w:rPr>
          <w:rFonts w:asciiTheme="majorHAnsi" w:eastAsia="Times New Roman" w:hAnsiTheme="majorHAnsi" w:cs="Times New Roman"/>
          <w:color w:val="000000"/>
          <w:sz w:val="22"/>
          <w:szCs w:val="22"/>
          <w:lang w:eastAsia="en-AU"/>
        </w:rPr>
        <w:t>In accordance with the above Council resolution,</w:t>
      </w:r>
      <w:r w:rsidR="00EB2712">
        <w:rPr>
          <w:rFonts w:asciiTheme="majorHAnsi" w:eastAsia="Times New Roman" w:hAnsiTheme="majorHAnsi" w:cs="Times New Roman"/>
          <w:color w:val="000000"/>
          <w:sz w:val="22"/>
          <w:szCs w:val="22"/>
          <w:lang w:eastAsia="en-AU"/>
        </w:rPr>
        <w:t xml:space="preserve"> the Planning Proposal has amended to</w:t>
      </w:r>
      <w:r w:rsidR="00EB2712" w:rsidRPr="00EB2712">
        <w:rPr>
          <w:rFonts w:asciiTheme="majorHAnsi" w:eastAsia="Times New Roman" w:hAnsiTheme="majorHAnsi" w:cs="Times New Roman"/>
          <w:color w:val="000000"/>
          <w:sz w:val="22"/>
          <w:szCs w:val="22"/>
          <w:lang w:eastAsia="en-AU"/>
        </w:rPr>
        <w:t xml:space="preserve"> identify </w:t>
      </w:r>
      <w:r w:rsidR="00964F02" w:rsidRPr="00C74987">
        <w:rPr>
          <w:rFonts w:asciiTheme="majorHAnsi" w:eastAsia="Times New Roman" w:hAnsiTheme="majorHAnsi" w:cs="Times New Roman"/>
          <w:color w:val="000000"/>
          <w:sz w:val="22"/>
          <w:szCs w:val="22"/>
          <w:lang w:eastAsia="en-AU"/>
        </w:rPr>
        <w:t>Lot 1 DP 323945</w:t>
      </w:r>
      <w:r w:rsidR="00EB2712" w:rsidRPr="00EB2712">
        <w:rPr>
          <w:rFonts w:asciiTheme="majorHAnsi" w:eastAsia="Times New Roman" w:hAnsiTheme="majorHAnsi" w:cs="Times New Roman"/>
          <w:color w:val="000000"/>
          <w:sz w:val="22"/>
          <w:szCs w:val="22"/>
          <w:lang w:eastAsia="en-AU"/>
        </w:rPr>
        <w:t xml:space="preserve"> as an Urban Release area.</w:t>
      </w:r>
      <w:r w:rsidR="00EB2712">
        <w:rPr>
          <w:rFonts w:asciiTheme="majorHAnsi" w:eastAsia="Times New Roman" w:hAnsiTheme="majorHAnsi" w:cs="Times New Roman"/>
          <w:color w:val="000000"/>
          <w:sz w:val="22"/>
          <w:szCs w:val="22"/>
          <w:lang w:eastAsia="en-AU"/>
        </w:rPr>
        <w:t xml:space="preserve"> </w:t>
      </w:r>
    </w:p>
    <w:p w:rsidR="00010BA5" w:rsidRPr="00C74987" w:rsidRDefault="00010BA5" w:rsidP="00BA3CAC">
      <w:pPr>
        <w:pBdr>
          <w:bottom w:val="single" w:sz="12" w:space="1" w:color="0F243E" w:themeColor="text2" w:themeShade="80"/>
        </w:pBdr>
        <w:spacing w:before="240" w:after="240" w:line="280" w:lineRule="exact"/>
        <w:contextualSpacing/>
        <w:jc w:val="both"/>
        <w:rPr>
          <w:rFonts w:asciiTheme="majorHAnsi" w:eastAsia="Times New Roman" w:hAnsiTheme="majorHAnsi" w:cs="Times New Roman"/>
          <w:color w:val="000000"/>
          <w:sz w:val="22"/>
          <w:szCs w:val="22"/>
          <w:lang w:eastAsia="en-AU"/>
        </w:rPr>
      </w:pPr>
    </w:p>
    <w:p w:rsidR="009757DA" w:rsidRPr="00C5403F" w:rsidRDefault="009757DA" w:rsidP="00C5403F">
      <w:pPr>
        <w:pBdr>
          <w:bottom w:val="single" w:sz="12" w:space="1" w:color="0F243E" w:themeColor="text2" w:themeShade="80"/>
        </w:pBdr>
        <w:spacing w:before="360" w:after="0"/>
        <w:rPr>
          <w:rFonts w:ascii="Trebuchet MS" w:eastAsia="Times New Roman" w:hAnsi="Trebuchet MS" w:cs="Times New Roman"/>
          <w:b/>
          <w:caps/>
          <w:color w:val="000000"/>
          <w:lang w:eastAsia="en-AU"/>
        </w:rPr>
      </w:pPr>
      <w:r w:rsidRPr="00C5403F">
        <w:rPr>
          <w:rFonts w:ascii="Trebuchet MS" w:eastAsia="Times New Roman" w:hAnsi="Trebuchet MS" w:cs="Times New Roman"/>
          <w:b/>
          <w:caps/>
          <w:color w:val="000000"/>
          <w:lang w:eastAsia="en-AU"/>
        </w:rPr>
        <w:t>2</w:t>
      </w:r>
      <w:r w:rsidRPr="00C5403F">
        <w:rPr>
          <w:rFonts w:ascii="Trebuchet MS" w:eastAsia="Times New Roman" w:hAnsi="Trebuchet MS" w:cs="Times New Roman"/>
          <w:b/>
          <w:caps/>
          <w:color w:val="000000"/>
          <w:lang w:eastAsia="en-AU"/>
        </w:rPr>
        <w:tab/>
        <w:t>Site D</w:t>
      </w:r>
      <w:bookmarkStart w:id="2" w:name="site_2"/>
      <w:bookmarkEnd w:id="2"/>
      <w:r w:rsidRPr="00C5403F">
        <w:rPr>
          <w:rFonts w:ascii="Trebuchet MS" w:eastAsia="Times New Roman" w:hAnsi="Trebuchet MS" w:cs="Times New Roman"/>
          <w:b/>
          <w:caps/>
          <w:color w:val="000000"/>
          <w:lang w:eastAsia="en-AU"/>
        </w:rPr>
        <w:t>escription</w:t>
      </w:r>
    </w:p>
    <w:p w:rsidR="009757DA" w:rsidRPr="009757DA" w:rsidRDefault="009757DA" w:rsidP="009757DA">
      <w:pPr>
        <w:widowControl w:val="0"/>
        <w:suppressAutoHyphens/>
        <w:autoSpaceDE w:val="0"/>
        <w:autoSpaceDN w:val="0"/>
        <w:adjustRightInd w:val="0"/>
        <w:spacing w:after="0" w:line="300" w:lineRule="atLeast"/>
        <w:textAlignment w:val="center"/>
        <w:rPr>
          <w:rFonts w:ascii="MBembo" w:hAnsi="MBembo" w:cs="MBembo"/>
          <w:color w:val="000000"/>
          <w:sz w:val="22"/>
          <w:szCs w:val="22"/>
          <w:lang w:val="en-GB"/>
        </w:rPr>
      </w:pPr>
    </w:p>
    <w:p w:rsidR="00F272CE" w:rsidRDefault="009757DA"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The site is legally described as Lot 1 DP 323945 and is located on the southern side of Yarrawa Road Denman. The site contains an area of 41.88 hectares and is irregular in shape. The site slopes from RL140 in the west to RL103 in the east. The site contains an existing dwelling and associated sheds that will be retained on site. There are no easements or restrictions to user on the title. The site is clear of vegetation and does not generally contain any vineyards. The existing dwelling is currently accessed from Yarrawa Road to the north</w:t>
      </w:r>
      <w:r w:rsidR="00F272CE">
        <w:rPr>
          <w:rFonts w:asciiTheme="majorHAnsi" w:eastAsia="Times New Roman" w:hAnsiTheme="majorHAnsi" w:cs="Times New Roman"/>
          <w:color w:val="000000"/>
          <w:sz w:val="22"/>
          <w:szCs w:val="22"/>
          <w:lang w:eastAsia="en-AU"/>
        </w:rPr>
        <w:t>.</w:t>
      </w:r>
    </w:p>
    <w:p w:rsidR="009757DA" w:rsidRPr="00C74987" w:rsidRDefault="009757DA" w:rsidP="00C5403F">
      <w:pPr>
        <w:widowControl w:val="0"/>
        <w:suppressAutoHyphens/>
        <w:autoSpaceDE w:val="0"/>
        <w:autoSpaceDN w:val="0"/>
        <w:adjustRightInd w:val="0"/>
        <w:spacing w:before="240" w:after="240" w:line="280" w:lineRule="exact"/>
        <w:contextualSpacing/>
        <w:textAlignment w:val="center"/>
        <w:rPr>
          <w:rFonts w:asciiTheme="majorHAnsi" w:hAnsiTheme="majorHAnsi" w:cs="MBembo"/>
          <w:color w:val="000000"/>
          <w:sz w:val="22"/>
          <w:szCs w:val="22"/>
          <w:lang w:val="en-GB"/>
        </w:rPr>
      </w:pPr>
    </w:p>
    <w:p w:rsidR="00733F2A" w:rsidRDefault="009757DA"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 xml:space="preserve">The land the subject of this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 is owned by Waebron Pty Ltd. Waebron Pty Ltd is a subsidiary of Inglewood Vineyards Pty Ltd, who own and operate the adjoining Two Rivers vineyard and cellar door located to the south and east of the subject site. The Two Rivers vineyard and cellar door are located within the Inglewood Hill and Inglewood Flat land holdings and generally do not extend onto the ‘Waebron’ site as can be </w:t>
      </w:r>
      <w:proofErr w:type="spellStart"/>
      <w:r w:rsidRPr="00C74987">
        <w:rPr>
          <w:rFonts w:asciiTheme="majorHAnsi" w:eastAsia="Times New Roman" w:hAnsiTheme="majorHAnsi" w:cs="Times New Roman"/>
          <w:color w:val="000000"/>
          <w:sz w:val="22"/>
          <w:szCs w:val="22"/>
          <w:lang w:eastAsia="en-AU"/>
        </w:rPr>
        <w:t>see</w:t>
      </w:r>
      <w:proofErr w:type="spellEnd"/>
      <w:r w:rsidRPr="00C74987">
        <w:rPr>
          <w:rFonts w:asciiTheme="majorHAnsi" w:eastAsia="Times New Roman" w:hAnsiTheme="majorHAnsi" w:cs="Times New Roman"/>
          <w:color w:val="000000"/>
          <w:sz w:val="22"/>
          <w:szCs w:val="22"/>
          <w:lang w:eastAsia="en-AU"/>
        </w:rPr>
        <w:t xml:space="preserve"> in </w:t>
      </w:r>
      <w:r w:rsidRPr="00C74987">
        <w:rPr>
          <w:rFonts w:asciiTheme="majorHAnsi" w:eastAsia="Times New Roman" w:hAnsiTheme="majorHAnsi" w:cs="Times New Roman"/>
          <w:b/>
          <w:color w:val="000000"/>
          <w:sz w:val="22"/>
          <w:szCs w:val="22"/>
          <w:lang w:eastAsia="en-AU"/>
        </w:rPr>
        <w:t xml:space="preserve">Figure </w:t>
      </w:r>
      <w:r w:rsidR="004C1D59" w:rsidRPr="00C74987">
        <w:rPr>
          <w:rFonts w:asciiTheme="majorHAnsi" w:eastAsia="Times New Roman" w:hAnsiTheme="majorHAnsi" w:cs="Times New Roman"/>
          <w:b/>
          <w:color w:val="000000"/>
          <w:sz w:val="22"/>
          <w:szCs w:val="22"/>
          <w:lang w:eastAsia="en-AU"/>
        </w:rPr>
        <w:t>2</w:t>
      </w:r>
      <w:r w:rsidRPr="00C74987">
        <w:rPr>
          <w:rFonts w:asciiTheme="majorHAnsi" w:eastAsia="Times New Roman" w:hAnsiTheme="majorHAnsi" w:cs="Times New Roman"/>
          <w:color w:val="000000"/>
          <w:sz w:val="22"/>
          <w:szCs w:val="22"/>
          <w:lang w:eastAsia="en-AU"/>
        </w:rPr>
        <w:t>. Details of the Inglewood Vineyards Pty Ltd landholding are provided below</w:t>
      </w:r>
      <w:r w:rsidR="00C74987" w:rsidRPr="00C74987">
        <w:rPr>
          <w:rFonts w:asciiTheme="majorHAnsi" w:eastAsia="Times New Roman" w:hAnsiTheme="majorHAnsi" w:cs="Times New Roman"/>
          <w:color w:val="000000"/>
          <w:sz w:val="22"/>
          <w:szCs w:val="22"/>
          <w:lang w:eastAsia="en-AU"/>
        </w:rPr>
        <w:t xml:space="preserve"> </w:t>
      </w:r>
      <w:r w:rsidR="00C74987" w:rsidRPr="00C74987">
        <w:rPr>
          <w:rFonts w:asciiTheme="majorHAnsi" w:eastAsia="Times New Roman" w:hAnsiTheme="majorHAnsi" w:cs="Times New Roman"/>
          <w:b/>
          <w:color w:val="000000"/>
          <w:sz w:val="22"/>
          <w:szCs w:val="22"/>
          <w:lang w:eastAsia="en-AU"/>
        </w:rPr>
        <w:t>Table 1</w:t>
      </w:r>
      <w:r w:rsidRPr="00C74987">
        <w:rPr>
          <w:rFonts w:asciiTheme="majorHAnsi" w:eastAsia="Times New Roman" w:hAnsiTheme="majorHAnsi" w:cs="Times New Roman"/>
          <w:color w:val="000000"/>
          <w:sz w:val="22"/>
          <w:szCs w:val="22"/>
          <w:lang w:eastAsia="en-AU"/>
        </w:rPr>
        <w:t>:</w:t>
      </w:r>
    </w:p>
    <w:p w:rsidR="00F272CE" w:rsidRDefault="00F272CE"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p>
    <w:p w:rsidR="00EB2712" w:rsidRDefault="00EB2712" w:rsidP="00D21F75">
      <w:pPr>
        <w:widowControl w:val="0"/>
        <w:suppressAutoHyphens/>
        <w:autoSpaceDE w:val="0"/>
        <w:autoSpaceDN w:val="0"/>
        <w:adjustRightInd w:val="0"/>
        <w:spacing w:before="120" w:after="120"/>
        <w:textAlignment w:val="center"/>
        <w:rPr>
          <w:rFonts w:asciiTheme="majorHAnsi" w:hAnsiTheme="majorHAnsi" w:cs="MBembo"/>
          <w:b/>
          <w:i/>
          <w:color w:val="000000"/>
          <w:sz w:val="20"/>
          <w:szCs w:val="22"/>
          <w:lang w:val="en-GB"/>
        </w:rPr>
      </w:pPr>
    </w:p>
    <w:p w:rsidR="00C74987" w:rsidRPr="00D21F75" w:rsidRDefault="00C74987" w:rsidP="00D21F75">
      <w:pPr>
        <w:widowControl w:val="0"/>
        <w:suppressAutoHyphens/>
        <w:autoSpaceDE w:val="0"/>
        <w:autoSpaceDN w:val="0"/>
        <w:adjustRightInd w:val="0"/>
        <w:spacing w:before="120" w:after="120"/>
        <w:textAlignment w:val="center"/>
        <w:rPr>
          <w:rFonts w:asciiTheme="majorHAnsi" w:hAnsiTheme="majorHAnsi" w:cs="MBembo"/>
          <w:i/>
          <w:color w:val="000000"/>
          <w:sz w:val="20"/>
          <w:szCs w:val="22"/>
          <w:lang w:val="en-GB"/>
        </w:rPr>
      </w:pPr>
      <w:r w:rsidRPr="00D21F75">
        <w:rPr>
          <w:rFonts w:asciiTheme="majorHAnsi" w:hAnsiTheme="majorHAnsi" w:cs="MBembo"/>
          <w:b/>
          <w:i/>
          <w:color w:val="000000"/>
          <w:sz w:val="20"/>
          <w:szCs w:val="22"/>
          <w:lang w:val="en-GB"/>
        </w:rPr>
        <w:lastRenderedPageBreak/>
        <w:t>Table 1:</w:t>
      </w:r>
      <w:r w:rsidR="00D21F75" w:rsidRPr="00D21F75">
        <w:rPr>
          <w:rFonts w:asciiTheme="majorHAnsi" w:hAnsiTheme="majorHAnsi" w:cs="MBembo"/>
          <w:i/>
          <w:color w:val="000000"/>
          <w:sz w:val="20"/>
          <w:szCs w:val="22"/>
          <w:lang w:val="en-GB"/>
        </w:rPr>
        <w:t xml:space="preserve"> Property details</w:t>
      </w:r>
    </w:p>
    <w:tbl>
      <w:tblPr>
        <w:tblW w:w="83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672"/>
        <w:gridCol w:w="1673"/>
        <w:gridCol w:w="1673"/>
        <w:gridCol w:w="1673"/>
        <w:gridCol w:w="1673"/>
      </w:tblGrid>
      <w:tr w:rsidR="009757DA" w:rsidRPr="00C74987" w:rsidTr="00F272CE">
        <w:trPr>
          <w:trHeight w:val="199"/>
          <w:jc w:val="center"/>
        </w:trPr>
        <w:tc>
          <w:tcPr>
            <w:tcW w:w="1701" w:type="dxa"/>
            <w:shd w:val="clear" w:color="000000" w:fill="D9D9D9" w:themeFill="background1" w:themeFillShade="D9"/>
            <w:tcMar>
              <w:top w:w="113" w:type="dxa"/>
              <w:left w:w="113" w:type="dxa"/>
              <w:bottom w:w="113" w:type="dxa"/>
              <w:right w:w="113" w:type="dxa"/>
            </w:tcMar>
            <w:vAlign w:val="center"/>
          </w:tcPr>
          <w:p w:rsidR="009757DA" w:rsidRPr="00C74987" w:rsidRDefault="009757DA" w:rsidP="00C74987">
            <w:pPr>
              <w:spacing w:after="0"/>
              <w:rPr>
                <w:rFonts w:asciiTheme="majorHAnsi" w:hAnsiTheme="majorHAnsi"/>
                <w:b/>
                <w:caps/>
                <w:sz w:val="18"/>
              </w:rPr>
            </w:pPr>
            <w:r w:rsidRPr="00C74987">
              <w:rPr>
                <w:rFonts w:asciiTheme="majorHAnsi" w:hAnsiTheme="majorHAnsi"/>
                <w:b/>
                <w:caps/>
                <w:sz w:val="18"/>
              </w:rPr>
              <w:t>Property</w:t>
            </w:r>
          </w:p>
        </w:tc>
        <w:tc>
          <w:tcPr>
            <w:tcW w:w="1701" w:type="dxa"/>
            <w:shd w:val="clear" w:color="000000" w:fill="D9D9D9" w:themeFill="background1" w:themeFillShade="D9"/>
            <w:tcMar>
              <w:top w:w="113" w:type="dxa"/>
              <w:left w:w="113" w:type="dxa"/>
              <w:bottom w:w="113" w:type="dxa"/>
              <w:right w:w="113" w:type="dxa"/>
            </w:tcMar>
            <w:vAlign w:val="center"/>
          </w:tcPr>
          <w:p w:rsidR="009757DA" w:rsidRPr="00C74987" w:rsidRDefault="009757DA" w:rsidP="00C74987">
            <w:pPr>
              <w:spacing w:after="0"/>
              <w:rPr>
                <w:rFonts w:asciiTheme="majorHAnsi" w:hAnsiTheme="majorHAnsi"/>
                <w:b/>
                <w:caps/>
                <w:sz w:val="18"/>
              </w:rPr>
            </w:pPr>
            <w:r w:rsidRPr="00C74987">
              <w:rPr>
                <w:rFonts w:asciiTheme="majorHAnsi" w:hAnsiTheme="majorHAnsi"/>
                <w:b/>
                <w:caps/>
                <w:sz w:val="18"/>
              </w:rPr>
              <w:t>Land Ha</w:t>
            </w:r>
          </w:p>
        </w:tc>
        <w:tc>
          <w:tcPr>
            <w:tcW w:w="1701" w:type="dxa"/>
            <w:shd w:val="clear" w:color="000000" w:fill="D9D9D9" w:themeFill="background1" w:themeFillShade="D9"/>
            <w:tcMar>
              <w:top w:w="113" w:type="dxa"/>
              <w:left w:w="113" w:type="dxa"/>
              <w:bottom w:w="113" w:type="dxa"/>
              <w:right w:w="113" w:type="dxa"/>
            </w:tcMar>
            <w:vAlign w:val="center"/>
          </w:tcPr>
          <w:p w:rsidR="009757DA" w:rsidRPr="00C74987" w:rsidRDefault="009757DA" w:rsidP="00C74987">
            <w:pPr>
              <w:spacing w:after="0"/>
              <w:rPr>
                <w:rFonts w:asciiTheme="majorHAnsi" w:hAnsiTheme="majorHAnsi"/>
                <w:b/>
                <w:caps/>
                <w:sz w:val="18"/>
              </w:rPr>
            </w:pPr>
            <w:r w:rsidRPr="00C74987">
              <w:rPr>
                <w:rFonts w:asciiTheme="majorHAnsi" w:hAnsiTheme="majorHAnsi"/>
                <w:b/>
                <w:caps/>
                <w:sz w:val="18"/>
              </w:rPr>
              <w:t xml:space="preserve"> Parish</w:t>
            </w:r>
          </w:p>
        </w:tc>
        <w:tc>
          <w:tcPr>
            <w:tcW w:w="1701" w:type="dxa"/>
            <w:shd w:val="clear" w:color="000000" w:fill="D9D9D9" w:themeFill="background1" w:themeFillShade="D9"/>
            <w:tcMar>
              <w:top w:w="113" w:type="dxa"/>
              <w:left w:w="113" w:type="dxa"/>
              <w:bottom w:w="113" w:type="dxa"/>
              <w:right w:w="113" w:type="dxa"/>
            </w:tcMar>
            <w:vAlign w:val="center"/>
          </w:tcPr>
          <w:p w:rsidR="009757DA" w:rsidRPr="00C74987" w:rsidRDefault="009757DA" w:rsidP="00C74987">
            <w:pPr>
              <w:spacing w:after="0"/>
              <w:rPr>
                <w:rFonts w:asciiTheme="majorHAnsi" w:hAnsiTheme="majorHAnsi"/>
                <w:b/>
                <w:caps/>
                <w:sz w:val="18"/>
              </w:rPr>
            </w:pPr>
            <w:r w:rsidRPr="00C74987">
              <w:rPr>
                <w:rFonts w:asciiTheme="majorHAnsi" w:hAnsiTheme="majorHAnsi"/>
                <w:b/>
                <w:caps/>
                <w:sz w:val="18"/>
              </w:rPr>
              <w:t>County</w:t>
            </w:r>
          </w:p>
        </w:tc>
        <w:tc>
          <w:tcPr>
            <w:tcW w:w="1701" w:type="dxa"/>
            <w:shd w:val="clear" w:color="000000" w:fill="D9D9D9" w:themeFill="background1" w:themeFillShade="D9"/>
            <w:tcMar>
              <w:top w:w="113" w:type="dxa"/>
              <w:left w:w="113" w:type="dxa"/>
              <w:bottom w:w="113" w:type="dxa"/>
              <w:right w:w="113" w:type="dxa"/>
            </w:tcMar>
            <w:vAlign w:val="center"/>
          </w:tcPr>
          <w:p w:rsidR="009757DA" w:rsidRPr="00C74987" w:rsidRDefault="009757DA" w:rsidP="00C74987">
            <w:pPr>
              <w:spacing w:after="0"/>
              <w:rPr>
                <w:rFonts w:asciiTheme="majorHAnsi" w:hAnsiTheme="majorHAnsi"/>
                <w:b/>
                <w:caps/>
                <w:sz w:val="18"/>
              </w:rPr>
            </w:pPr>
            <w:r w:rsidRPr="00C74987">
              <w:rPr>
                <w:rFonts w:asciiTheme="majorHAnsi" w:hAnsiTheme="majorHAnsi"/>
                <w:b/>
                <w:caps/>
                <w:sz w:val="18"/>
              </w:rPr>
              <w:t>Lot /DP Details</w:t>
            </w:r>
          </w:p>
        </w:tc>
      </w:tr>
      <w:tr w:rsidR="009757DA" w:rsidRPr="00C74987" w:rsidTr="00F272CE">
        <w:trPr>
          <w:trHeight w:val="178"/>
          <w:jc w:val="center"/>
        </w:trPr>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Inglewood Hill</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103.2</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Denman</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Brisbane</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Lot 1 DP 1036050</w:t>
            </w:r>
          </w:p>
        </w:tc>
      </w:tr>
      <w:tr w:rsidR="009757DA" w:rsidRPr="00C74987" w:rsidTr="00F272CE">
        <w:trPr>
          <w:trHeight w:val="142"/>
          <w:jc w:val="center"/>
        </w:trPr>
        <w:tc>
          <w:tcPr>
            <w:tcW w:w="1701" w:type="dxa"/>
            <w:shd w:val="clear" w:color="auto"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Inglewood Flat</w:t>
            </w:r>
          </w:p>
        </w:tc>
        <w:tc>
          <w:tcPr>
            <w:tcW w:w="1701" w:type="dxa"/>
            <w:shd w:val="clear" w:color="auto"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38.354</w:t>
            </w:r>
          </w:p>
        </w:tc>
        <w:tc>
          <w:tcPr>
            <w:tcW w:w="1701" w:type="dxa"/>
            <w:shd w:val="clear" w:color="auto"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Denman</w:t>
            </w:r>
          </w:p>
        </w:tc>
        <w:tc>
          <w:tcPr>
            <w:tcW w:w="1701" w:type="dxa"/>
            <w:shd w:val="clear" w:color="auto"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Brisbane</w:t>
            </w:r>
          </w:p>
        </w:tc>
        <w:tc>
          <w:tcPr>
            <w:tcW w:w="1701" w:type="dxa"/>
            <w:shd w:val="clear" w:color="auto"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Lot 2 DP 1036050</w:t>
            </w:r>
          </w:p>
        </w:tc>
      </w:tr>
      <w:tr w:rsidR="009757DA" w:rsidRPr="00C74987" w:rsidTr="00F272CE">
        <w:trPr>
          <w:trHeight w:val="155"/>
          <w:jc w:val="center"/>
        </w:trPr>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Waebron</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41.88</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Denman</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Brisbane</w:t>
            </w:r>
          </w:p>
        </w:tc>
        <w:tc>
          <w:tcPr>
            <w:tcW w:w="1701" w:type="dxa"/>
            <w:shd w:val="clear" w:color="000000" w:fill="auto"/>
            <w:tcMar>
              <w:top w:w="113" w:type="dxa"/>
              <w:left w:w="113" w:type="dxa"/>
              <w:bottom w:w="113" w:type="dxa"/>
              <w:right w:w="113" w:type="dxa"/>
            </w:tcMar>
            <w:vAlign w:val="center"/>
          </w:tcPr>
          <w:p w:rsidR="009757DA" w:rsidRPr="00C74987" w:rsidRDefault="009757DA" w:rsidP="00C74987">
            <w:pPr>
              <w:widowControl w:val="0"/>
              <w:suppressAutoHyphens/>
              <w:autoSpaceDE w:val="0"/>
              <w:autoSpaceDN w:val="0"/>
              <w:adjustRightInd w:val="0"/>
              <w:spacing w:after="0"/>
              <w:textAlignment w:val="center"/>
              <w:rPr>
                <w:rFonts w:asciiTheme="majorHAnsi" w:hAnsiTheme="majorHAnsi" w:cs="MBembo"/>
                <w:color w:val="000000"/>
                <w:sz w:val="18"/>
                <w:szCs w:val="20"/>
                <w:lang w:val="en-GB"/>
              </w:rPr>
            </w:pPr>
            <w:r w:rsidRPr="00C74987">
              <w:rPr>
                <w:rFonts w:asciiTheme="majorHAnsi" w:hAnsiTheme="majorHAnsi" w:cs="MBembo"/>
                <w:color w:val="000000"/>
                <w:sz w:val="18"/>
                <w:szCs w:val="20"/>
                <w:lang w:val="en-GB"/>
              </w:rPr>
              <w:t>Lot 1 DP 323945</w:t>
            </w:r>
          </w:p>
        </w:tc>
      </w:tr>
    </w:tbl>
    <w:p w:rsidR="009757DA" w:rsidRPr="00C74987" w:rsidRDefault="009757DA" w:rsidP="00D21F75">
      <w:pPr>
        <w:spacing w:before="240" w:after="0" w:line="280" w:lineRule="exact"/>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Inglewood Vineyards Pty Ltd has valid development consent from Council to operate a commercial winery and associated tourist facilities on the property (DA 91/2000) comprising the following:</w:t>
      </w:r>
    </w:p>
    <w:p w:rsidR="009757DA" w:rsidRPr="00C74987" w:rsidRDefault="009757DA" w:rsidP="00D21F75">
      <w:pPr>
        <w:pStyle w:val="ListParagraph"/>
        <w:numPr>
          <w:ilvl w:val="0"/>
          <w:numId w:val="23"/>
        </w:numPr>
        <w:spacing w:after="240" w:line="280" w:lineRule="exact"/>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Winery (complete with finished product warehouse and bottling/packaging plant and dry barrel store)</w:t>
      </w:r>
    </w:p>
    <w:p w:rsidR="009757DA" w:rsidRPr="00C74987" w:rsidRDefault="009757DA" w:rsidP="00C5403F">
      <w:pPr>
        <w:pStyle w:val="ListParagraph"/>
        <w:numPr>
          <w:ilvl w:val="0"/>
          <w:numId w:val="23"/>
        </w:numPr>
        <w:spacing w:before="240" w:after="240" w:line="280" w:lineRule="exact"/>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Restaurant and Cellar Door (capacity 40 dining guest and 20 non-dining guests)</w:t>
      </w:r>
    </w:p>
    <w:p w:rsidR="009757DA" w:rsidRPr="00C74987" w:rsidRDefault="009757DA" w:rsidP="00C5403F">
      <w:pPr>
        <w:pStyle w:val="ListParagraph"/>
        <w:numPr>
          <w:ilvl w:val="0"/>
          <w:numId w:val="23"/>
        </w:numPr>
        <w:spacing w:before="240" w:after="240" w:line="280" w:lineRule="exact"/>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20 x 4 person tourist cabins</w:t>
      </w:r>
    </w:p>
    <w:p w:rsidR="00CF2A0A" w:rsidRDefault="009757DA" w:rsidP="00C5403F">
      <w:pPr>
        <w:spacing w:before="240" w:after="240" w:line="280" w:lineRule="exact"/>
        <w:contextualSpacing/>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 xml:space="preserve">The commercial winery component of the development is no longer required as a long-term commercial agreement is in place for wine production off site. The commercial winery operation was approved by Council for location on the ‘Weabron’ property as the soils have low fertility and minimal rural land capability. This land is not used for grape growing (apart from a small area in the western portion of the site comprising less than 1 hectare) and is not used for agricultural production. </w:t>
      </w:r>
      <w:r w:rsidR="00AB207D">
        <w:rPr>
          <w:rFonts w:asciiTheme="majorHAnsi" w:eastAsia="Times New Roman" w:hAnsiTheme="majorHAnsi" w:cs="Times New Roman"/>
          <w:color w:val="000000"/>
          <w:sz w:val="22"/>
          <w:lang w:eastAsia="en-AU"/>
        </w:rPr>
        <w:t xml:space="preserve">A soil and land capability assessment </w:t>
      </w:r>
      <w:r w:rsidR="008D059A">
        <w:rPr>
          <w:rFonts w:asciiTheme="majorHAnsi" w:eastAsia="Times New Roman" w:hAnsiTheme="majorHAnsi" w:cs="Times New Roman"/>
          <w:color w:val="000000"/>
          <w:sz w:val="22"/>
          <w:lang w:eastAsia="en-AU"/>
        </w:rPr>
        <w:t xml:space="preserve">of the site </w:t>
      </w:r>
      <w:r w:rsidR="00AB207D">
        <w:rPr>
          <w:rFonts w:asciiTheme="majorHAnsi" w:eastAsia="Times New Roman" w:hAnsiTheme="majorHAnsi" w:cs="Times New Roman"/>
          <w:color w:val="000000"/>
          <w:sz w:val="22"/>
          <w:lang w:eastAsia="en-AU"/>
        </w:rPr>
        <w:t xml:space="preserve">was undertaken </w:t>
      </w:r>
      <w:r w:rsidR="00223050">
        <w:rPr>
          <w:rFonts w:asciiTheme="majorHAnsi" w:eastAsia="Times New Roman" w:hAnsiTheme="majorHAnsi" w:cs="Times New Roman"/>
          <w:color w:val="000000"/>
          <w:sz w:val="22"/>
          <w:lang w:eastAsia="en-AU"/>
        </w:rPr>
        <w:t>as part of the development</w:t>
      </w:r>
      <w:r w:rsidR="00BD0A9A">
        <w:rPr>
          <w:rFonts w:asciiTheme="majorHAnsi" w:eastAsia="Times New Roman" w:hAnsiTheme="majorHAnsi" w:cs="Times New Roman"/>
          <w:color w:val="000000"/>
          <w:sz w:val="22"/>
          <w:lang w:eastAsia="en-AU"/>
        </w:rPr>
        <w:t xml:space="preserve"> application for the win</w:t>
      </w:r>
      <w:r w:rsidR="00AB207D">
        <w:rPr>
          <w:rFonts w:asciiTheme="majorHAnsi" w:eastAsia="Times New Roman" w:hAnsiTheme="majorHAnsi" w:cs="Times New Roman"/>
          <w:color w:val="000000"/>
          <w:sz w:val="22"/>
          <w:lang w:eastAsia="en-AU"/>
        </w:rPr>
        <w:t>ery. This assessment</w:t>
      </w:r>
      <w:r w:rsidR="00BD0A9A">
        <w:rPr>
          <w:rFonts w:asciiTheme="majorHAnsi" w:eastAsia="Times New Roman" w:hAnsiTheme="majorHAnsi" w:cs="Times New Roman"/>
          <w:color w:val="000000"/>
          <w:sz w:val="22"/>
          <w:lang w:eastAsia="en-AU"/>
        </w:rPr>
        <w:t xml:space="preserve"> </w:t>
      </w:r>
      <w:r w:rsidR="00AB207D">
        <w:rPr>
          <w:rFonts w:asciiTheme="majorHAnsi" w:eastAsia="Times New Roman" w:hAnsiTheme="majorHAnsi" w:cs="Times New Roman"/>
          <w:color w:val="000000"/>
          <w:sz w:val="22"/>
          <w:lang w:eastAsia="en-AU"/>
        </w:rPr>
        <w:t>identified</w:t>
      </w:r>
      <w:r w:rsidR="00AA19DD">
        <w:rPr>
          <w:rFonts w:asciiTheme="majorHAnsi" w:eastAsia="Times New Roman" w:hAnsiTheme="majorHAnsi" w:cs="Times New Roman"/>
          <w:color w:val="000000"/>
          <w:sz w:val="22"/>
          <w:lang w:eastAsia="en-AU"/>
        </w:rPr>
        <w:t>,</w:t>
      </w:r>
      <w:r w:rsidR="00AA19DD" w:rsidRPr="00AA19DD">
        <w:rPr>
          <w:rFonts w:asciiTheme="majorHAnsi" w:eastAsia="Times New Roman" w:hAnsiTheme="majorHAnsi" w:cs="Times New Roman"/>
          <w:color w:val="000000"/>
          <w:sz w:val="22"/>
          <w:lang w:eastAsia="en-AU"/>
        </w:rPr>
        <w:t xml:space="preserve"> </w:t>
      </w:r>
      <w:r w:rsidR="00AA19DD">
        <w:rPr>
          <w:rFonts w:asciiTheme="majorHAnsi" w:eastAsia="Times New Roman" w:hAnsiTheme="majorHAnsi" w:cs="Times New Roman"/>
          <w:color w:val="000000"/>
          <w:sz w:val="22"/>
          <w:lang w:eastAsia="en-AU"/>
        </w:rPr>
        <w:t xml:space="preserve">pursuant to the Soil Conservation Service’s Rural Land Capability system, </w:t>
      </w:r>
      <w:r w:rsidR="00AB207D">
        <w:rPr>
          <w:rFonts w:asciiTheme="majorHAnsi" w:eastAsia="Times New Roman" w:hAnsiTheme="majorHAnsi" w:cs="Times New Roman"/>
          <w:color w:val="000000"/>
          <w:sz w:val="22"/>
          <w:lang w:eastAsia="en-AU"/>
        </w:rPr>
        <w:t xml:space="preserve">that </w:t>
      </w:r>
      <w:r w:rsidR="00D81283">
        <w:rPr>
          <w:rFonts w:asciiTheme="majorHAnsi" w:eastAsia="Times New Roman" w:hAnsiTheme="majorHAnsi" w:cs="Times New Roman"/>
          <w:color w:val="000000"/>
          <w:sz w:val="22"/>
          <w:lang w:eastAsia="en-AU"/>
        </w:rPr>
        <w:t xml:space="preserve">Waebron comprised Class IV land, which is defined as being best suited for grazing with occasional cultivation only as it would not be stable with continuous cultivation. </w:t>
      </w:r>
      <w:r w:rsidR="00523DD3">
        <w:rPr>
          <w:rFonts w:asciiTheme="majorHAnsi" w:eastAsia="Times New Roman" w:hAnsiTheme="majorHAnsi" w:cs="Times New Roman"/>
          <w:color w:val="000000"/>
          <w:sz w:val="22"/>
          <w:lang w:eastAsia="en-AU"/>
        </w:rPr>
        <w:t xml:space="preserve">The assessment also identified that </w:t>
      </w:r>
      <w:r w:rsidR="00AB207D">
        <w:rPr>
          <w:rFonts w:asciiTheme="majorHAnsi" w:eastAsia="Times New Roman" w:hAnsiTheme="majorHAnsi" w:cs="Times New Roman"/>
          <w:color w:val="000000"/>
          <w:sz w:val="22"/>
          <w:lang w:eastAsia="en-AU"/>
        </w:rPr>
        <w:t xml:space="preserve">the river flats of the adjoining Two Rivers contains Class I land, which is land suitable for regular cultivation with no constraints. </w:t>
      </w:r>
      <w:r w:rsidR="00523DD3">
        <w:rPr>
          <w:rFonts w:asciiTheme="majorHAnsi" w:eastAsia="Times New Roman" w:hAnsiTheme="majorHAnsi" w:cs="Times New Roman"/>
          <w:color w:val="000000"/>
          <w:sz w:val="22"/>
          <w:lang w:eastAsia="en-AU"/>
        </w:rPr>
        <w:t xml:space="preserve">The sloping areas of </w:t>
      </w:r>
      <w:r w:rsidR="008D059A">
        <w:rPr>
          <w:rFonts w:asciiTheme="majorHAnsi" w:eastAsia="Times New Roman" w:hAnsiTheme="majorHAnsi" w:cs="Times New Roman"/>
          <w:color w:val="000000"/>
          <w:sz w:val="22"/>
          <w:lang w:eastAsia="en-AU"/>
        </w:rPr>
        <w:t>Two Rivers</w:t>
      </w:r>
      <w:r w:rsidR="00523DD3">
        <w:rPr>
          <w:rFonts w:asciiTheme="majorHAnsi" w:eastAsia="Times New Roman" w:hAnsiTheme="majorHAnsi" w:cs="Times New Roman"/>
          <w:color w:val="000000"/>
          <w:sz w:val="22"/>
          <w:lang w:eastAsia="en-AU"/>
        </w:rPr>
        <w:t xml:space="preserve"> were </w:t>
      </w:r>
      <w:r w:rsidR="008D059A">
        <w:rPr>
          <w:rFonts w:asciiTheme="majorHAnsi" w:eastAsia="Times New Roman" w:hAnsiTheme="majorHAnsi" w:cs="Times New Roman"/>
          <w:color w:val="000000"/>
          <w:sz w:val="22"/>
          <w:lang w:eastAsia="en-AU"/>
        </w:rPr>
        <w:t>identified as Class IV land,</w:t>
      </w:r>
      <w:r w:rsidR="00523DD3">
        <w:rPr>
          <w:rFonts w:asciiTheme="majorHAnsi" w:eastAsia="Times New Roman" w:hAnsiTheme="majorHAnsi" w:cs="Times New Roman"/>
          <w:color w:val="000000"/>
          <w:sz w:val="22"/>
          <w:lang w:eastAsia="en-AU"/>
        </w:rPr>
        <w:t xml:space="preserve"> however, it was noted that protection from erosion has been provided by extensive soil conservation measures, including contour banks, grassed waterways, contour planting of vines and “sod culture”. </w:t>
      </w:r>
      <w:r w:rsidR="008D059A">
        <w:rPr>
          <w:rFonts w:asciiTheme="majorHAnsi" w:eastAsia="Times New Roman" w:hAnsiTheme="majorHAnsi" w:cs="Times New Roman"/>
          <w:color w:val="000000"/>
          <w:sz w:val="22"/>
          <w:lang w:eastAsia="en-AU"/>
        </w:rPr>
        <w:t xml:space="preserve">The growing of grapes was deemed to be certainly sustainable on Class I land and also on the Class IV land on the slopes, </w:t>
      </w:r>
      <w:r w:rsidR="00AA19DD">
        <w:rPr>
          <w:rFonts w:asciiTheme="majorHAnsi" w:eastAsia="Times New Roman" w:hAnsiTheme="majorHAnsi" w:cs="Times New Roman"/>
          <w:color w:val="000000"/>
          <w:sz w:val="22"/>
          <w:lang w:eastAsia="en-AU"/>
        </w:rPr>
        <w:t>provided Two Rivers continued to employ the extensive management practices</w:t>
      </w:r>
      <w:r w:rsidR="008D059A">
        <w:rPr>
          <w:rFonts w:asciiTheme="majorHAnsi" w:eastAsia="Times New Roman" w:hAnsiTheme="majorHAnsi" w:cs="Times New Roman"/>
          <w:color w:val="000000"/>
          <w:sz w:val="22"/>
          <w:lang w:eastAsia="en-AU"/>
        </w:rPr>
        <w:t xml:space="preserve">. </w:t>
      </w:r>
      <w:r w:rsidR="00CF2A0A">
        <w:rPr>
          <w:rFonts w:asciiTheme="majorHAnsi" w:eastAsia="Times New Roman" w:hAnsiTheme="majorHAnsi" w:cs="Times New Roman"/>
          <w:color w:val="000000"/>
          <w:sz w:val="22"/>
          <w:lang w:eastAsia="en-AU"/>
        </w:rPr>
        <w:t xml:space="preserve">Details of the soil and land capability assessment are provided in </w:t>
      </w:r>
      <w:r w:rsidR="00CF2A0A" w:rsidRPr="00367AF7">
        <w:rPr>
          <w:rFonts w:asciiTheme="majorHAnsi" w:eastAsia="Times New Roman" w:hAnsiTheme="majorHAnsi" w:cs="Times New Roman"/>
          <w:b/>
          <w:color w:val="000000"/>
          <w:sz w:val="22"/>
          <w:lang w:eastAsia="en-AU"/>
        </w:rPr>
        <w:t>Appendix 1</w:t>
      </w:r>
      <w:r w:rsidR="00CF2A0A">
        <w:rPr>
          <w:rFonts w:asciiTheme="majorHAnsi" w:eastAsia="Times New Roman" w:hAnsiTheme="majorHAnsi" w:cs="Times New Roman"/>
          <w:color w:val="000000"/>
          <w:sz w:val="22"/>
          <w:lang w:eastAsia="en-AU"/>
        </w:rPr>
        <w:t xml:space="preserve"> to this report. </w:t>
      </w:r>
    </w:p>
    <w:p w:rsidR="00CF2A0A" w:rsidRDefault="00CF2A0A" w:rsidP="00C5403F">
      <w:pPr>
        <w:spacing w:before="240" w:after="240" w:line="280" w:lineRule="exact"/>
        <w:contextualSpacing/>
        <w:jc w:val="both"/>
        <w:rPr>
          <w:rFonts w:asciiTheme="majorHAnsi" w:eastAsia="Times New Roman" w:hAnsiTheme="majorHAnsi" w:cs="Times New Roman"/>
          <w:color w:val="000000"/>
          <w:sz w:val="22"/>
          <w:lang w:eastAsia="en-AU"/>
        </w:rPr>
      </w:pPr>
    </w:p>
    <w:p w:rsidR="00CF2A0A" w:rsidRDefault="00AA19DD" w:rsidP="00C5403F">
      <w:pPr>
        <w:spacing w:before="240" w:after="240" w:line="280" w:lineRule="exact"/>
        <w:contextualSpacing/>
        <w:jc w:val="both"/>
        <w:rPr>
          <w:rFonts w:asciiTheme="majorHAnsi" w:eastAsia="Times New Roman" w:hAnsiTheme="majorHAnsi" w:cs="Times New Roman"/>
          <w:color w:val="000000"/>
          <w:sz w:val="22"/>
          <w:lang w:eastAsia="en-AU"/>
        </w:rPr>
      </w:pPr>
      <w:r>
        <w:rPr>
          <w:rFonts w:asciiTheme="majorHAnsi" w:eastAsia="Times New Roman" w:hAnsiTheme="majorHAnsi" w:cs="Times New Roman"/>
          <w:color w:val="000000"/>
          <w:sz w:val="22"/>
          <w:lang w:eastAsia="en-AU"/>
        </w:rPr>
        <w:t xml:space="preserve">The Waebron land </w:t>
      </w:r>
      <w:r w:rsidR="00CF2A0A">
        <w:rPr>
          <w:rFonts w:asciiTheme="majorHAnsi" w:eastAsia="Times New Roman" w:hAnsiTheme="majorHAnsi" w:cs="Times New Roman"/>
          <w:color w:val="000000"/>
          <w:sz w:val="22"/>
          <w:lang w:eastAsia="en-AU"/>
        </w:rPr>
        <w:t xml:space="preserve">does not have a history of use for </w:t>
      </w:r>
      <w:r>
        <w:rPr>
          <w:rFonts w:asciiTheme="majorHAnsi" w:eastAsia="Times New Roman" w:hAnsiTheme="majorHAnsi" w:cs="Times New Roman"/>
          <w:color w:val="000000"/>
          <w:sz w:val="22"/>
          <w:lang w:eastAsia="en-AU"/>
        </w:rPr>
        <w:t xml:space="preserve">prime agricultural land and </w:t>
      </w:r>
      <w:r w:rsidR="00523DD3">
        <w:rPr>
          <w:rFonts w:asciiTheme="majorHAnsi" w:eastAsia="Times New Roman" w:hAnsiTheme="majorHAnsi" w:cs="Times New Roman"/>
          <w:color w:val="000000"/>
          <w:sz w:val="22"/>
          <w:lang w:eastAsia="en-AU"/>
        </w:rPr>
        <w:t xml:space="preserve">is not </w:t>
      </w:r>
      <w:r w:rsidR="00CF2A0A">
        <w:rPr>
          <w:rFonts w:asciiTheme="majorHAnsi" w:eastAsia="Times New Roman" w:hAnsiTheme="majorHAnsi" w:cs="Times New Roman"/>
          <w:color w:val="000000"/>
          <w:sz w:val="22"/>
          <w:lang w:eastAsia="en-AU"/>
        </w:rPr>
        <w:t xml:space="preserve">currently </w:t>
      </w:r>
      <w:r w:rsidR="00523DD3">
        <w:rPr>
          <w:rFonts w:asciiTheme="majorHAnsi" w:eastAsia="Times New Roman" w:hAnsiTheme="majorHAnsi" w:cs="Times New Roman"/>
          <w:color w:val="000000"/>
          <w:sz w:val="22"/>
          <w:lang w:eastAsia="en-AU"/>
        </w:rPr>
        <w:t xml:space="preserve">suitable for </w:t>
      </w:r>
      <w:r>
        <w:rPr>
          <w:rFonts w:asciiTheme="majorHAnsi" w:eastAsia="Times New Roman" w:hAnsiTheme="majorHAnsi" w:cs="Times New Roman"/>
          <w:color w:val="000000"/>
          <w:sz w:val="22"/>
          <w:lang w:eastAsia="en-AU"/>
        </w:rPr>
        <w:t xml:space="preserve">grape growing.  </w:t>
      </w:r>
      <w:r w:rsidR="00CF2A0A">
        <w:rPr>
          <w:rFonts w:asciiTheme="majorHAnsi" w:eastAsia="Times New Roman" w:hAnsiTheme="majorHAnsi" w:cs="Times New Roman"/>
          <w:color w:val="000000"/>
          <w:sz w:val="22"/>
          <w:lang w:eastAsia="en-AU"/>
        </w:rPr>
        <w:t>Given the proximity of the land to the Village of Denman, t</w:t>
      </w:r>
      <w:r>
        <w:rPr>
          <w:rFonts w:asciiTheme="majorHAnsi" w:eastAsia="Times New Roman" w:hAnsiTheme="majorHAnsi" w:cs="Times New Roman"/>
          <w:color w:val="000000"/>
          <w:sz w:val="22"/>
          <w:lang w:eastAsia="en-AU"/>
        </w:rPr>
        <w:t xml:space="preserve">he use of the land for large lot housing purposes </w:t>
      </w:r>
      <w:r w:rsidR="00CF2A0A">
        <w:rPr>
          <w:rFonts w:asciiTheme="majorHAnsi" w:eastAsia="Times New Roman" w:hAnsiTheme="majorHAnsi" w:cs="Times New Roman"/>
          <w:color w:val="000000"/>
          <w:sz w:val="22"/>
          <w:lang w:eastAsia="en-AU"/>
        </w:rPr>
        <w:t>is considered to be preferred over the sites possible agricultu</w:t>
      </w:r>
      <w:r w:rsidR="004533EE">
        <w:rPr>
          <w:rFonts w:asciiTheme="majorHAnsi" w:eastAsia="Times New Roman" w:hAnsiTheme="majorHAnsi" w:cs="Times New Roman"/>
          <w:color w:val="000000"/>
          <w:sz w:val="22"/>
          <w:lang w:eastAsia="en-AU"/>
        </w:rPr>
        <w:t>ral uses, a position supported b</w:t>
      </w:r>
      <w:r w:rsidR="00CF2A0A">
        <w:rPr>
          <w:rFonts w:asciiTheme="majorHAnsi" w:eastAsia="Times New Roman" w:hAnsiTheme="majorHAnsi" w:cs="Times New Roman"/>
          <w:color w:val="000000"/>
          <w:sz w:val="22"/>
          <w:lang w:eastAsia="en-AU"/>
        </w:rPr>
        <w:t>y NSW Department of Primary Industries in their consultation response</w:t>
      </w:r>
      <w:r w:rsidR="00F272CE">
        <w:rPr>
          <w:rFonts w:asciiTheme="majorHAnsi" w:eastAsia="Times New Roman" w:hAnsiTheme="majorHAnsi" w:cs="Times New Roman"/>
          <w:color w:val="000000"/>
          <w:sz w:val="22"/>
          <w:lang w:eastAsia="en-AU"/>
        </w:rPr>
        <w:t>.</w:t>
      </w:r>
    </w:p>
    <w:p w:rsidR="00BD0A9A" w:rsidRDefault="00BD0A9A" w:rsidP="00C5403F">
      <w:pPr>
        <w:spacing w:before="240" w:after="240" w:line="280" w:lineRule="exact"/>
        <w:contextualSpacing/>
        <w:jc w:val="both"/>
        <w:rPr>
          <w:rFonts w:asciiTheme="majorHAnsi" w:eastAsia="Times New Roman" w:hAnsiTheme="majorHAnsi" w:cs="Times New Roman"/>
          <w:color w:val="000000"/>
          <w:sz w:val="22"/>
          <w:lang w:eastAsia="en-AU"/>
        </w:rPr>
      </w:pPr>
    </w:p>
    <w:p w:rsidR="009757DA" w:rsidRPr="00C74987" w:rsidRDefault="00963602" w:rsidP="00C5403F">
      <w:pPr>
        <w:spacing w:before="240" w:after="240" w:line="280" w:lineRule="exact"/>
        <w:contextualSpacing/>
        <w:jc w:val="both"/>
        <w:rPr>
          <w:rFonts w:asciiTheme="majorHAnsi" w:eastAsia="Times New Roman" w:hAnsiTheme="majorHAnsi" w:cs="Times New Roman"/>
          <w:color w:val="000000"/>
          <w:sz w:val="22"/>
          <w:lang w:eastAsia="en-AU"/>
        </w:rPr>
      </w:pPr>
      <w:r w:rsidRPr="00056B6E">
        <w:rPr>
          <w:rFonts w:asciiTheme="majorHAnsi" w:eastAsia="Times New Roman" w:hAnsiTheme="majorHAnsi" w:cs="Times New Roman"/>
          <w:color w:val="000000"/>
          <w:sz w:val="22"/>
          <w:szCs w:val="22"/>
          <w:lang w:eastAsia="en-AU"/>
        </w:rPr>
        <w:t xml:space="preserve">Two Rivers are a long-term member of the Denman community and a major tourism generator for the Upper Hunter Valley. Two Rivers has won multiple awards for their wines since starting their business in 1988, the latest being a Gold Medal from the Hunter Valley Wine Show August 2014. Two Rivers have a cellar door and a single guest cottage, both of which are popular tourist attractions for Denman.  The owners are </w:t>
      </w:r>
      <w:r>
        <w:rPr>
          <w:rFonts w:asciiTheme="majorHAnsi" w:eastAsia="Times New Roman" w:hAnsiTheme="majorHAnsi" w:cs="Times New Roman"/>
          <w:color w:val="000000"/>
          <w:sz w:val="22"/>
          <w:szCs w:val="22"/>
          <w:lang w:eastAsia="en-AU"/>
        </w:rPr>
        <w:t>committed</w:t>
      </w:r>
      <w:r w:rsidRPr="00056B6E">
        <w:rPr>
          <w:rFonts w:asciiTheme="majorHAnsi" w:eastAsia="Times New Roman" w:hAnsiTheme="majorHAnsi" w:cs="Times New Roman"/>
          <w:color w:val="000000"/>
          <w:sz w:val="22"/>
          <w:szCs w:val="22"/>
          <w:lang w:eastAsia="en-AU"/>
        </w:rPr>
        <w:t xml:space="preserve"> to </w:t>
      </w:r>
      <w:r>
        <w:rPr>
          <w:rFonts w:asciiTheme="majorHAnsi" w:eastAsia="Times New Roman" w:hAnsiTheme="majorHAnsi" w:cs="Times New Roman"/>
          <w:color w:val="000000"/>
          <w:sz w:val="22"/>
          <w:szCs w:val="22"/>
          <w:lang w:eastAsia="en-AU"/>
        </w:rPr>
        <w:t>improving</w:t>
      </w:r>
      <w:r w:rsidR="00042FBA">
        <w:rPr>
          <w:rFonts w:asciiTheme="majorHAnsi" w:eastAsia="Times New Roman" w:hAnsiTheme="majorHAnsi" w:cs="Times New Roman"/>
          <w:color w:val="000000"/>
          <w:sz w:val="22"/>
          <w:szCs w:val="22"/>
          <w:lang w:eastAsia="en-AU"/>
        </w:rPr>
        <w:t xml:space="preserve"> the</w:t>
      </w:r>
      <w:r>
        <w:rPr>
          <w:rFonts w:asciiTheme="majorHAnsi" w:eastAsia="Times New Roman" w:hAnsiTheme="majorHAnsi" w:cs="Times New Roman"/>
          <w:color w:val="000000"/>
          <w:sz w:val="22"/>
          <w:szCs w:val="22"/>
          <w:lang w:eastAsia="en-AU"/>
        </w:rPr>
        <w:t xml:space="preserve"> </w:t>
      </w:r>
      <w:r w:rsidR="00042FBA">
        <w:rPr>
          <w:rFonts w:asciiTheme="majorHAnsi" w:eastAsia="Times New Roman" w:hAnsiTheme="majorHAnsi" w:cs="Times New Roman"/>
          <w:color w:val="000000"/>
          <w:sz w:val="22"/>
          <w:szCs w:val="22"/>
          <w:lang w:eastAsia="en-AU"/>
        </w:rPr>
        <w:t>tourist</w:t>
      </w:r>
      <w:r w:rsidRPr="00056B6E">
        <w:rPr>
          <w:rFonts w:asciiTheme="majorHAnsi" w:eastAsia="Times New Roman" w:hAnsiTheme="majorHAnsi" w:cs="Times New Roman"/>
          <w:color w:val="000000"/>
          <w:sz w:val="22"/>
          <w:szCs w:val="22"/>
          <w:lang w:eastAsia="en-AU"/>
        </w:rPr>
        <w:t xml:space="preserve"> facilities available on the Two Rivers site and </w:t>
      </w:r>
      <w:r w:rsidR="00042FBA">
        <w:rPr>
          <w:rFonts w:asciiTheme="majorHAnsi" w:eastAsia="Times New Roman" w:hAnsiTheme="majorHAnsi" w:cs="Times New Roman"/>
          <w:color w:val="000000"/>
          <w:sz w:val="22"/>
          <w:szCs w:val="22"/>
          <w:lang w:eastAsia="en-AU"/>
        </w:rPr>
        <w:t>are keen to proceed with the approved</w:t>
      </w:r>
      <w:r>
        <w:rPr>
          <w:rFonts w:asciiTheme="majorHAnsi" w:eastAsia="Times New Roman" w:hAnsiTheme="majorHAnsi" w:cs="Times New Roman"/>
          <w:color w:val="000000"/>
          <w:sz w:val="22"/>
          <w:szCs w:val="22"/>
          <w:lang w:eastAsia="en-AU"/>
        </w:rPr>
        <w:t xml:space="preserve"> </w:t>
      </w:r>
      <w:r w:rsidR="00042FBA">
        <w:rPr>
          <w:rFonts w:asciiTheme="majorHAnsi" w:eastAsia="Times New Roman" w:hAnsiTheme="majorHAnsi" w:cs="Times New Roman"/>
          <w:color w:val="000000"/>
          <w:sz w:val="22"/>
          <w:szCs w:val="22"/>
          <w:lang w:eastAsia="en-AU"/>
        </w:rPr>
        <w:t xml:space="preserve">tourism accommodation, which </w:t>
      </w:r>
      <w:r w:rsidRPr="00C74987">
        <w:rPr>
          <w:rFonts w:asciiTheme="majorHAnsi" w:eastAsia="Times New Roman" w:hAnsiTheme="majorHAnsi" w:cs="Times New Roman"/>
          <w:color w:val="000000"/>
          <w:sz w:val="22"/>
          <w:lang w:eastAsia="en-AU"/>
        </w:rPr>
        <w:t xml:space="preserve">has been economically unviable to date. </w:t>
      </w:r>
      <w:r w:rsidR="00042FBA">
        <w:rPr>
          <w:rFonts w:asciiTheme="majorHAnsi" w:eastAsia="Times New Roman" w:hAnsiTheme="majorHAnsi" w:cs="Times New Roman"/>
          <w:color w:val="000000"/>
          <w:sz w:val="22"/>
          <w:lang w:eastAsia="en-AU"/>
        </w:rPr>
        <w:t xml:space="preserve">The owners see the potential for the rezoning of Waebron to generate the much needed capital to fund the approved </w:t>
      </w:r>
      <w:r w:rsidR="00042FBA">
        <w:rPr>
          <w:rFonts w:asciiTheme="majorHAnsi" w:eastAsia="Times New Roman" w:hAnsiTheme="majorHAnsi" w:cs="Times New Roman"/>
          <w:color w:val="000000"/>
          <w:sz w:val="22"/>
          <w:lang w:eastAsia="en-AU"/>
        </w:rPr>
        <w:lastRenderedPageBreak/>
        <w:t>tourism facilities at Two Rivers</w:t>
      </w:r>
      <w:r w:rsidRPr="00056B6E">
        <w:rPr>
          <w:rFonts w:asciiTheme="majorHAnsi" w:eastAsia="Times New Roman" w:hAnsiTheme="majorHAnsi" w:cs="Times New Roman"/>
          <w:color w:val="000000"/>
          <w:sz w:val="22"/>
          <w:szCs w:val="22"/>
          <w:lang w:eastAsia="en-AU"/>
        </w:rPr>
        <w:t xml:space="preserve">.  The rezoning and development of </w:t>
      </w:r>
      <w:r w:rsidR="00042FBA">
        <w:rPr>
          <w:rFonts w:asciiTheme="majorHAnsi" w:eastAsia="Times New Roman" w:hAnsiTheme="majorHAnsi" w:cs="Times New Roman"/>
          <w:color w:val="000000"/>
          <w:sz w:val="22"/>
          <w:szCs w:val="22"/>
          <w:lang w:eastAsia="en-AU"/>
        </w:rPr>
        <w:t>Waebron</w:t>
      </w:r>
      <w:r w:rsidRPr="00056B6E">
        <w:rPr>
          <w:rFonts w:asciiTheme="majorHAnsi" w:eastAsia="Times New Roman" w:hAnsiTheme="majorHAnsi" w:cs="Times New Roman"/>
          <w:color w:val="000000"/>
          <w:sz w:val="22"/>
          <w:szCs w:val="22"/>
          <w:lang w:eastAsia="en-AU"/>
        </w:rPr>
        <w:t>, given its limited agricultural capacity, proximity to existing services and unique scenic attributes provides an opportunity for the owners to reinvest in the long-term future of their viticulture business and cement Two Rivers as a major tourist destination for the Upper Hunter.</w:t>
      </w:r>
    </w:p>
    <w:p w:rsidR="009757DA" w:rsidRPr="00C74987" w:rsidRDefault="009757DA" w:rsidP="00C5403F">
      <w:pPr>
        <w:spacing w:before="240" w:after="240" w:line="280" w:lineRule="exact"/>
        <w:contextualSpacing/>
        <w:jc w:val="both"/>
        <w:rPr>
          <w:rFonts w:asciiTheme="majorHAnsi" w:eastAsia="Times New Roman" w:hAnsiTheme="majorHAnsi" w:cs="Times New Roman"/>
          <w:color w:val="000000"/>
          <w:sz w:val="22"/>
          <w:lang w:eastAsia="en-AU"/>
        </w:rPr>
      </w:pPr>
    </w:p>
    <w:p w:rsidR="009757DA" w:rsidRPr="00C74987" w:rsidRDefault="009757DA" w:rsidP="00C5403F">
      <w:pPr>
        <w:spacing w:before="240" w:after="240" w:line="280" w:lineRule="exact"/>
        <w:contextualSpacing/>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b/>
          <w:color w:val="000000"/>
          <w:sz w:val="22"/>
          <w:lang w:eastAsia="en-AU"/>
        </w:rPr>
        <w:t>Figure 1</w:t>
      </w:r>
      <w:r w:rsidRPr="00C74987">
        <w:rPr>
          <w:rFonts w:asciiTheme="majorHAnsi" w:eastAsia="Times New Roman" w:hAnsiTheme="majorHAnsi" w:cs="Times New Roman"/>
          <w:color w:val="000000"/>
          <w:sz w:val="22"/>
          <w:lang w:eastAsia="en-AU"/>
        </w:rPr>
        <w:t xml:space="preserve"> illustrates a locality plan of the subject site and surrounding area.</w:t>
      </w:r>
    </w:p>
    <w:p w:rsidR="009757DA" w:rsidRPr="00C74987" w:rsidRDefault="009757DA" w:rsidP="00C5403F">
      <w:pPr>
        <w:spacing w:before="240" w:after="240" w:line="280" w:lineRule="exact"/>
        <w:contextualSpacing/>
        <w:jc w:val="both"/>
        <w:rPr>
          <w:rFonts w:asciiTheme="majorHAnsi" w:eastAsia="Times New Roman" w:hAnsiTheme="majorHAnsi" w:cs="Times New Roman"/>
          <w:color w:val="000000"/>
          <w:sz w:val="22"/>
          <w:lang w:eastAsia="en-AU"/>
        </w:rPr>
      </w:pPr>
    </w:p>
    <w:p w:rsidR="009757DA" w:rsidRPr="00C74987" w:rsidRDefault="009757DA" w:rsidP="00C5403F">
      <w:pPr>
        <w:spacing w:before="240" w:after="240" w:line="280" w:lineRule="exact"/>
        <w:contextualSpacing/>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b/>
          <w:color w:val="000000"/>
          <w:sz w:val="22"/>
          <w:lang w:eastAsia="en-AU"/>
        </w:rPr>
        <w:t>Figure 2</w:t>
      </w:r>
      <w:r w:rsidRPr="00C74987">
        <w:rPr>
          <w:rFonts w:asciiTheme="majorHAnsi" w:eastAsia="Times New Roman" w:hAnsiTheme="majorHAnsi" w:cs="Times New Roman"/>
          <w:color w:val="000000"/>
          <w:sz w:val="22"/>
          <w:lang w:eastAsia="en-AU"/>
        </w:rPr>
        <w:t xml:space="preserve"> provides an aerial view of the site and surrounds. </w:t>
      </w:r>
    </w:p>
    <w:p w:rsidR="00C5403F" w:rsidRDefault="00C5403F" w:rsidP="00C5403F">
      <w:pPr>
        <w:spacing w:before="240" w:after="240" w:line="280" w:lineRule="exact"/>
        <w:contextualSpacing/>
        <w:jc w:val="both"/>
        <w:rPr>
          <w:rFonts w:ascii="Trebuchet MS" w:eastAsia="Times New Roman" w:hAnsi="Trebuchet MS" w:cs="Times New Roman"/>
          <w:color w:val="000000"/>
          <w:sz w:val="19"/>
          <w:lang w:eastAsia="en-AU"/>
        </w:rPr>
      </w:pPr>
    </w:p>
    <w:p w:rsidR="00251EC8" w:rsidRDefault="00251EC8" w:rsidP="00251EC8">
      <w:pPr>
        <w:spacing w:before="360" w:after="0"/>
        <w:rPr>
          <w:rFonts w:ascii="Trebuchet MS" w:eastAsia="Times New Roman" w:hAnsi="Trebuchet MS" w:cs="Times New Roman"/>
          <w:b/>
          <w:caps/>
          <w:color w:val="000000"/>
          <w:lang w:eastAsia="en-AU"/>
        </w:rPr>
      </w:pPr>
      <w:r w:rsidRPr="00251EC8">
        <w:rPr>
          <w:rFonts w:ascii="Trebuchet MS" w:eastAsia="Times New Roman" w:hAnsi="Trebuchet MS" w:cs="Times New Roman"/>
          <w:b/>
          <w:caps/>
          <w:noProof/>
          <w:color w:val="000000"/>
          <w:lang w:eastAsia="en-AU"/>
        </w:rPr>
        <w:lastRenderedPageBreak/>
        <w:drawing>
          <wp:inline distT="0" distB="0" distL="0" distR="0" wp14:anchorId="2CFFC75D" wp14:editId="6B9010F3">
            <wp:extent cx="5396230" cy="8429427"/>
            <wp:effectExtent l="25400" t="0" r="0" b="0"/>
            <wp:docPr id="5" name="Picture 5" descr="OP_PP_Two Rivers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PP_Two Rivers_Fig1.jpg"/>
                    <pic:cNvPicPr/>
                  </pic:nvPicPr>
                  <pic:blipFill>
                    <a:blip r:embed="rId15"/>
                    <a:srcRect l="11901" t="6060" r="7141" b="4377"/>
                    <a:stretch>
                      <a:fillRect/>
                    </a:stretch>
                  </pic:blipFill>
                  <pic:spPr>
                    <a:xfrm>
                      <a:off x="0" y="0"/>
                      <a:ext cx="5396230" cy="8429427"/>
                    </a:xfrm>
                    <a:prstGeom prst="rect">
                      <a:avLst/>
                    </a:prstGeom>
                  </pic:spPr>
                </pic:pic>
              </a:graphicData>
            </a:graphic>
          </wp:inline>
        </w:drawing>
      </w:r>
    </w:p>
    <w:p w:rsidR="009757DA" w:rsidRPr="00C5403F" w:rsidRDefault="00251EC8" w:rsidP="00C5403F">
      <w:pPr>
        <w:pBdr>
          <w:bottom w:val="single" w:sz="12" w:space="1" w:color="0F243E" w:themeColor="text2" w:themeShade="80"/>
        </w:pBdr>
        <w:spacing w:before="360" w:after="0"/>
        <w:rPr>
          <w:rFonts w:ascii="Trebuchet MS" w:eastAsia="Times New Roman" w:hAnsi="Trebuchet MS" w:cs="Times New Roman"/>
          <w:b/>
          <w:caps/>
          <w:color w:val="000000"/>
          <w:lang w:eastAsia="en-AU"/>
        </w:rPr>
      </w:pPr>
      <w:r w:rsidRPr="00251EC8">
        <w:rPr>
          <w:rFonts w:ascii="Trebuchet MS" w:eastAsia="Times New Roman" w:hAnsi="Trebuchet MS" w:cs="Times New Roman"/>
          <w:b/>
          <w:caps/>
          <w:noProof/>
          <w:color w:val="000000"/>
          <w:lang w:eastAsia="en-AU"/>
        </w:rPr>
        <w:lastRenderedPageBreak/>
        <w:drawing>
          <wp:inline distT="0" distB="0" distL="0" distR="0" wp14:anchorId="10E73623" wp14:editId="111499EF">
            <wp:extent cx="5396230" cy="8305450"/>
            <wp:effectExtent l="25400" t="0" r="0" b="0"/>
            <wp:docPr id="9" name="Picture 6" descr="OP_PP_Two River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_PP_Two Rivers_Fig2.jpg"/>
                    <pic:cNvPicPr/>
                  </pic:nvPicPr>
                  <pic:blipFill>
                    <a:blip r:embed="rId16"/>
                    <a:srcRect l="7141" t="6060" r="11901" b="6060"/>
                    <a:stretch>
                      <a:fillRect/>
                    </a:stretch>
                  </pic:blipFill>
                  <pic:spPr>
                    <a:xfrm>
                      <a:off x="0" y="0"/>
                      <a:ext cx="5396230" cy="8305450"/>
                    </a:xfrm>
                    <a:prstGeom prst="rect">
                      <a:avLst/>
                    </a:prstGeom>
                  </pic:spPr>
                </pic:pic>
              </a:graphicData>
            </a:graphic>
          </wp:inline>
        </w:drawing>
      </w:r>
      <w:r>
        <w:rPr>
          <w:rFonts w:ascii="Trebuchet MS" w:eastAsia="Times New Roman" w:hAnsi="Trebuchet MS" w:cs="Times New Roman"/>
          <w:b/>
          <w:caps/>
          <w:color w:val="000000"/>
          <w:lang w:eastAsia="en-AU"/>
        </w:rPr>
        <w:br w:type="page"/>
      </w:r>
      <w:r w:rsidR="009757DA" w:rsidRPr="00C5403F">
        <w:rPr>
          <w:rFonts w:ascii="Trebuchet MS" w:eastAsia="Times New Roman" w:hAnsi="Trebuchet MS" w:cs="Times New Roman"/>
          <w:b/>
          <w:caps/>
          <w:color w:val="000000"/>
          <w:lang w:eastAsia="en-AU"/>
        </w:rPr>
        <w:lastRenderedPageBreak/>
        <w:t>3</w:t>
      </w:r>
      <w:r w:rsidR="009757DA" w:rsidRPr="00C5403F">
        <w:rPr>
          <w:rFonts w:ascii="Trebuchet MS" w:eastAsia="Times New Roman" w:hAnsi="Trebuchet MS" w:cs="Times New Roman"/>
          <w:b/>
          <w:caps/>
          <w:color w:val="000000"/>
          <w:lang w:eastAsia="en-AU"/>
        </w:rPr>
        <w:tab/>
        <w:t>The A</w:t>
      </w:r>
      <w:bookmarkStart w:id="3" w:name="amending_3"/>
      <w:bookmarkEnd w:id="3"/>
      <w:r w:rsidR="009757DA" w:rsidRPr="00C5403F">
        <w:rPr>
          <w:rFonts w:ascii="Trebuchet MS" w:eastAsia="Times New Roman" w:hAnsi="Trebuchet MS" w:cs="Times New Roman"/>
          <w:b/>
          <w:caps/>
          <w:color w:val="000000"/>
          <w:lang w:eastAsia="en-AU"/>
        </w:rPr>
        <w:t>mending LEP</w:t>
      </w:r>
    </w:p>
    <w:p w:rsidR="00C5403F" w:rsidRPr="00C74987" w:rsidRDefault="009757DA" w:rsidP="00EF1DC3">
      <w:pPr>
        <w:spacing w:before="240" w:after="0"/>
        <w:jc w:val="both"/>
        <w:rPr>
          <w:rFonts w:asciiTheme="majorHAnsi" w:eastAsia="Times New Roman" w:hAnsiTheme="majorHAnsi" w:cs="Times New Roman"/>
          <w:color w:val="000000"/>
          <w:sz w:val="22"/>
          <w:lang w:eastAsia="en-AU"/>
        </w:rPr>
      </w:pPr>
      <w:r w:rsidRPr="00C74987">
        <w:rPr>
          <w:rFonts w:asciiTheme="majorHAnsi" w:eastAsia="Times New Roman" w:hAnsiTheme="majorHAnsi" w:cs="Times New Roman"/>
          <w:color w:val="000000"/>
          <w:sz w:val="22"/>
          <w:lang w:eastAsia="en-AU"/>
        </w:rPr>
        <w:t xml:space="preserve">The following matters address the requirements of a </w:t>
      </w:r>
      <w:r w:rsidR="006C7B49">
        <w:rPr>
          <w:rFonts w:asciiTheme="majorHAnsi" w:eastAsia="Times New Roman" w:hAnsiTheme="majorHAnsi" w:cs="Times New Roman"/>
          <w:color w:val="000000"/>
          <w:sz w:val="22"/>
          <w:lang w:eastAsia="en-AU"/>
        </w:rPr>
        <w:t>Planning Proposal</w:t>
      </w:r>
      <w:r w:rsidRPr="00C74987">
        <w:rPr>
          <w:rFonts w:asciiTheme="majorHAnsi" w:eastAsia="Times New Roman" w:hAnsiTheme="majorHAnsi" w:cs="Times New Roman"/>
          <w:color w:val="000000"/>
          <w:sz w:val="22"/>
          <w:lang w:eastAsia="en-AU"/>
        </w:rPr>
        <w:t xml:space="preserve"> as detailed in the Department of Planning</w:t>
      </w:r>
      <w:r w:rsidR="00BA7A84" w:rsidRPr="00C74987">
        <w:rPr>
          <w:rFonts w:asciiTheme="majorHAnsi" w:eastAsia="Times New Roman" w:hAnsiTheme="majorHAnsi" w:cs="Times New Roman"/>
          <w:color w:val="000000"/>
          <w:sz w:val="22"/>
          <w:lang w:eastAsia="en-AU"/>
        </w:rPr>
        <w:t xml:space="preserve"> &amp; Infrastructure “</w:t>
      </w:r>
      <w:r w:rsidRPr="00C74987">
        <w:rPr>
          <w:rFonts w:asciiTheme="majorHAnsi" w:eastAsia="Times New Roman" w:hAnsiTheme="majorHAnsi" w:cs="Times New Roman"/>
          <w:color w:val="000000"/>
          <w:sz w:val="22"/>
          <w:lang w:eastAsia="en-AU"/>
        </w:rPr>
        <w:t xml:space="preserve">A guide to preparing </w:t>
      </w:r>
      <w:r w:rsidR="006C7B49">
        <w:rPr>
          <w:rFonts w:asciiTheme="majorHAnsi" w:eastAsia="Times New Roman" w:hAnsiTheme="majorHAnsi" w:cs="Times New Roman"/>
          <w:color w:val="000000"/>
          <w:sz w:val="22"/>
          <w:lang w:eastAsia="en-AU"/>
        </w:rPr>
        <w:t>Planning Proposal</w:t>
      </w:r>
      <w:r w:rsidRPr="00C74987">
        <w:rPr>
          <w:rFonts w:asciiTheme="majorHAnsi" w:eastAsia="Times New Roman" w:hAnsiTheme="majorHAnsi" w:cs="Times New Roman"/>
          <w:color w:val="000000"/>
          <w:sz w:val="22"/>
          <w:lang w:eastAsia="en-AU"/>
        </w:rPr>
        <w:t>s</w:t>
      </w:r>
      <w:r w:rsidR="00BA7A84" w:rsidRPr="00C74987">
        <w:rPr>
          <w:rFonts w:asciiTheme="majorHAnsi" w:eastAsia="Times New Roman" w:hAnsiTheme="majorHAnsi" w:cs="Times New Roman"/>
          <w:color w:val="000000"/>
          <w:sz w:val="22"/>
          <w:lang w:eastAsia="en-AU"/>
        </w:rPr>
        <w:t xml:space="preserve"> </w:t>
      </w:r>
      <w:r w:rsidR="00DA34ED" w:rsidRPr="00C74987">
        <w:rPr>
          <w:rFonts w:asciiTheme="majorHAnsi" w:eastAsia="Times New Roman" w:hAnsiTheme="majorHAnsi" w:cs="Times New Roman"/>
          <w:color w:val="000000"/>
          <w:sz w:val="22"/>
          <w:lang w:eastAsia="en-AU"/>
        </w:rPr>
        <w:t>(October 2012)</w:t>
      </w:r>
      <w:r w:rsidR="00BA7A84" w:rsidRPr="00C74987">
        <w:rPr>
          <w:rFonts w:asciiTheme="majorHAnsi" w:eastAsia="Times New Roman" w:hAnsiTheme="majorHAnsi" w:cs="Times New Roman"/>
          <w:color w:val="000000"/>
          <w:sz w:val="22"/>
          <w:lang w:eastAsia="en-AU"/>
        </w:rPr>
        <w:t>”</w:t>
      </w:r>
      <w:r w:rsidRPr="00C74987">
        <w:rPr>
          <w:rFonts w:asciiTheme="majorHAnsi" w:eastAsia="Times New Roman" w:hAnsiTheme="majorHAnsi" w:cs="Times New Roman"/>
          <w:color w:val="000000"/>
          <w:sz w:val="22"/>
          <w:lang w:eastAsia="en-AU"/>
        </w:rPr>
        <w:t>.</w:t>
      </w:r>
    </w:p>
    <w:p w:rsidR="009757DA" w:rsidRPr="00C74987" w:rsidRDefault="009757DA" w:rsidP="00C74987">
      <w:pPr>
        <w:widowControl w:val="0"/>
        <w:suppressAutoHyphens/>
        <w:autoSpaceDE w:val="0"/>
        <w:autoSpaceDN w:val="0"/>
        <w:adjustRightInd w:val="0"/>
        <w:spacing w:line="300" w:lineRule="atLeast"/>
        <w:textAlignment w:val="center"/>
        <w:rPr>
          <w:rFonts w:asciiTheme="majorHAnsi" w:hAnsiTheme="majorHAnsi" w:cs="MBembo"/>
          <w:color w:val="000000"/>
          <w:sz w:val="28"/>
          <w:szCs w:val="22"/>
          <w:lang w:val="en-GB"/>
        </w:rPr>
      </w:pPr>
    </w:p>
    <w:p w:rsidR="009757DA" w:rsidRPr="00C5403F" w:rsidRDefault="009757DA" w:rsidP="00EE3E3C">
      <w:pPr>
        <w:keepLines/>
        <w:spacing w:after="80"/>
        <w:jc w:val="both"/>
        <w:rPr>
          <w:rFonts w:ascii="Trebuchet MS" w:eastAsia="Times New Roman" w:hAnsi="Trebuchet MS" w:cs="Arial"/>
          <w:b/>
          <w:lang w:eastAsia="en-AU"/>
        </w:rPr>
      </w:pPr>
      <w:r w:rsidRPr="00C5403F">
        <w:rPr>
          <w:rFonts w:ascii="Trebuchet MS" w:eastAsia="Times New Roman" w:hAnsi="Trebuchet MS" w:cs="Arial"/>
          <w:b/>
          <w:lang w:eastAsia="en-AU"/>
        </w:rPr>
        <w:t>3.1</w:t>
      </w:r>
      <w:r w:rsidRPr="00C5403F">
        <w:rPr>
          <w:rFonts w:ascii="Trebuchet MS" w:eastAsia="Times New Roman" w:hAnsi="Trebuchet MS" w:cs="Arial"/>
          <w:b/>
          <w:lang w:eastAsia="en-AU"/>
        </w:rPr>
        <w:tab/>
        <w:t>Objective</w:t>
      </w:r>
      <w:r w:rsidR="001D17C9">
        <w:rPr>
          <w:rFonts w:ascii="Trebuchet MS" w:eastAsia="Times New Roman" w:hAnsi="Trebuchet MS" w:cs="Arial"/>
          <w:b/>
          <w:lang w:eastAsia="en-AU"/>
        </w:rPr>
        <w:t xml:space="preserve">s </w:t>
      </w:r>
      <w:bookmarkStart w:id="4" w:name="obj_3_1"/>
      <w:bookmarkEnd w:id="4"/>
      <w:r w:rsidR="001D17C9" w:rsidRPr="001D17C9">
        <w:rPr>
          <w:rFonts w:ascii="Trebuchet MS" w:eastAsia="Times New Roman" w:hAnsi="Trebuchet MS" w:cs="Arial"/>
          <w:b/>
          <w:lang w:eastAsia="en-AU"/>
        </w:rPr>
        <w:t>or Intended Outcomes</w:t>
      </w:r>
    </w:p>
    <w:p w:rsidR="00C5403F" w:rsidRPr="00C5403F" w:rsidRDefault="00072181" w:rsidP="00C5403F">
      <w:pPr>
        <w:spacing w:before="240" w:after="240" w:line="280" w:lineRule="exact"/>
        <w:contextualSpacing/>
        <w:jc w:val="both"/>
        <w:rPr>
          <w:rFonts w:ascii="Trebuchet MS" w:eastAsia="Times New Roman" w:hAnsi="Trebuchet MS" w:cs="Times New Roman"/>
          <w:color w:val="000000"/>
          <w:sz w:val="19"/>
          <w:lang w:eastAsia="en-AU"/>
        </w:rPr>
      </w:pPr>
      <w:r w:rsidRPr="00C74987">
        <w:rPr>
          <w:rFonts w:asciiTheme="majorHAnsi" w:eastAsia="Times New Roman" w:hAnsiTheme="majorHAnsi" w:cs="Times New Roman"/>
          <w:color w:val="000000"/>
          <w:sz w:val="22"/>
          <w:szCs w:val="22"/>
          <w:lang w:eastAsia="en-AU"/>
        </w:rPr>
        <w:t xml:space="preserve">The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 intends to </w:t>
      </w:r>
      <w:r w:rsidR="009757DA" w:rsidRPr="00C74987">
        <w:rPr>
          <w:rFonts w:asciiTheme="majorHAnsi" w:eastAsia="Times New Roman" w:hAnsiTheme="majorHAnsi" w:cs="Times New Roman"/>
          <w:color w:val="000000"/>
          <w:sz w:val="22"/>
          <w:szCs w:val="22"/>
          <w:lang w:eastAsia="en-AU"/>
        </w:rPr>
        <w:t>amend Muswellb</w:t>
      </w:r>
      <w:r w:rsidR="000C3254" w:rsidRPr="00C74987">
        <w:rPr>
          <w:rFonts w:asciiTheme="majorHAnsi" w:eastAsia="Times New Roman" w:hAnsiTheme="majorHAnsi" w:cs="Times New Roman"/>
          <w:color w:val="000000"/>
          <w:sz w:val="22"/>
          <w:szCs w:val="22"/>
          <w:lang w:eastAsia="en-AU"/>
        </w:rPr>
        <w:t>rook Local Environmental Plan (</w:t>
      </w:r>
      <w:r w:rsidR="009757DA" w:rsidRPr="00C74987">
        <w:rPr>
          <w:rFonts w:asciiTheme="majorHAnsi" w:eastAsia="Times New Roman" w:hAnsiTheme="majorHAnsi" w:cs="Times New Roman"/>
          <w:color w:val="000000"/>
          <w:sz w:val="22"/>
          <w:szCs w:val="22"/>
          <w:lang w:eastAsia="en-AU"/>
        </w:rPr>
        <w:t xml:space="preserve">LEP) </w:t>
      </w:r>
      <w:r w:rsidRPr="00C74987">
        <w:rPr>
          <w:rFonts w:asciiTheme="majorHAnsi" w:eastAsia="Times New Roman" w:hAnsiTheme="majorHAnsi" w:cs="Times New Roman"/>
          <w:color w:val="000000"/>
          <w:sz w:val="22"/>
          <w:szCs w:val="22"/>
          <w:lang w:eastAsia="en-AU"/>
        </w:rPr>
        <w:t>2009 by rezoning Lot 1 DP 323945 to enable the</w:t>
      </w:r>
      <w:r w:rsidR="0054790C" w:rsidRPr="00C74987">
        <w:rPr>
          <w:rFonts w:asciiTheme="majorHAnsi" w:eastAsia="Times New Roman" w:hAnsiTheme="majorHAnsi" w:cs="Times New Roman"/>
          <w:color w:val="000000"/>
          <w:sz w:val="22"/>
          <w:szCs w:val="22"/>
          <w:lang w:eastAsia="en-AU"/>
        </w:rPr>
        <w:t xml:space="preserve"> land to be developed for </w:t>
      </w:r>
      <w:r w:rsidR="009757DA" w:rsidRPr="00C74987">
        <w:rPr>
          <w:rFonts w:asciiTheme="majorHAnsi" w:eastAsia="Times New Roman" w:hAnsiTheme="majorHAnsi" w:cs="Times New Roman"/>
          <w:color w:val="000000"/>
          <w:sz w:val="22"/>
          <w:szCs w:val="22"/>
          <w:lang w:eastAsia="en-AU"/>
        </w:rPr>
        <w:t>large lot residential living purposes</w:t>
      </w:r>
      <w:r w:rsidR="009757DA" w:rsidRPr="00C5403F">
        <w:rPr>
          <w:rFonts w:ascii="Trebuchet MS" w:eastAsia="Times New Roman" w:hAnsi="Trebuchet MS" w:cs="Times New Roman"/>
          <w:color w:val="000000"/>
          <w:sz w:val="19"/>
          <w:lang w:eastAsia="en-AU"/>
        </w:rPr>
        <w:t xml:space="preserve">. </w:t>
      </w:r>
    </w:p>
    <w:p w:rsidR="009757DA" w:rsidRDefault="009757DA" w:rsidP="00C5403F">
      <w:pPr>
        <w:spacing w:before="240" w:after="240" w:line="280" w:lineRule="exact"/>
        <w:contextualSpacing/>
        <w:jc w:val="both"/>
        <w:rPr>
          <w:rFonts w:ascii="Trebuchet MS" w:eastAsia="Times New Roman" w:hAnsi="Trebuchet MS" w:cs="Times New Roman"/>
          <w:color w:val="000000"/>
          <w:sz w:val="19"/>
          <w:lang w:eastAsia="en-AU"/>
        </w:rPr>
      </w:pPr>
    </w:p>
    <w:p w:rsidR="00C74987" w:rsidRPr="00C5403F" w:rsidRDefault="00C74987" w:rsidP="00C5403F">
      <w:pPr>
        <w:spacing w:before="240" w:after="240" w:line="280" w:lineRule="exact"/>
        <w:contextualSpacing/>
        <w:jc w:val="both"/>
        <w:rPr>
          <w:rFonts w:ascii="Trebuchet MS" w:eastAsia="Times New Roman" w:hAnsi="Trebuchet MS" w:cs="Times New Roman"/>
          <w:color w:val="000000"/>
          <w:sz w:val="19"/>
          <w:lang w:eastAsia="en-AU"/>
        </w:rPr>
      </w:pPr>
    </w:p>
    <w:p w:rsidR="00DA34ED" w:rsidRPr="00C5403F" w:rsidRDefault="009757DA" w:rsidP="00EE3E3C">
      <w:pPr>
        <w:keepLines/>
        <w:spacing w:after="80"/>
        <w:jc w:val="both"/>
        <w:rPr>
          <w:rFonts w:ascii="Trebuchet MS" w:eastAsia="Times New Roman" w:hAnsi="Trebuchet MS" w:cs="Arial"/>
          <w:b/>
          <w:lang w:eastAsia="en-AU"/>
        </w:rPr>
      </w:pPr>
      <w:r w:rsidRPr="00C5403F">
        <w:rPr>
          <w:rFonts w:ascii="Trebuchet MS" w:eastAsia="Times New Roman" w:hAnsi="Trebuchet MS" w:cs="Arial"/>
          <w:b/>
          <w:lang w:eastAsia="en-AU"/>
        </w:rPr>
        <w:t>3.2</w:t>
      </w:r>
      <w:r w:rsidRPr="00C5403F">
        <w:rPr>
          <w:rFonts w:ascii="Trebuchet MS" w:eastAsia="Times New Roman" w:hAnsi="Trebuchet MS" w:cs="Arial"/>
          <w:b/>
          <w:lang w:eastAsia="en-AU"/>
        </w:rPr>
        <w:tab/>
      </w:r>
      <w:r w:rsidR="001D17C9">
        <w:rPr>
          <w:rFonts w:ascii="Trebuchet MS" w:eastAsia="Times New Roman" w:hAnsi="Trebuchet MS" w:cs="Arial"/>
          <w:b/>
          <w:lang w:eastAsia="en-AU"/>
        </w:rPr>
        <w:t>Explana</w:t>
      </w:r>
      <w:bookmarkStart w:id="5" w:name="exp_3_2"/>
      <w:bookmarkEnd w:id="5"/>
      <w:r w:rsidR="001D17C9">
        <w:rPr>
          <w:rFonts w:ascii="Trebuchet MS" w:eastAsia="Times New Roman" w:hAnsi="Trebuchet MS" w:cs="Arial"/>
          <w:b/>
          <w:lang w:eastAsia="en-AU"/>
        </w:rPr>
        <w:t xml:space="preserve">tion of </w:t>
      </w:r>
      <w:r w:rsidRPr="00C5403F">
        <w:rPr>
          <w:rFonts w:ascii="Trebuchet MS" w:eastAsia="Times New Roman" w:hAnsi="Trebuchet MS" w:cs="Arial"/>
          <w:b/>
          <w:lang w:eastAsia="en-AU"/>
        </w:rPr>
        <w:t>Provisions</w:t>
      </w:r>
    </w:p>
    <w:p w:rsidR="004934FF" w:rsidRPr="00C74987" w:rsidRDefault="004934FF" w:rsidP="004934FF">
      <w:pPr>
        <w:spacing w:before="240" w:after="240" w:line="280" w:lineRule="exact"/>
        <w:contextualSpacing/>
        <w:jc w:val="both"/>
        <w:rPr>
          <w:rFonts w:asciiTheme="majorHAnsi" w:hAnsiTheme="majorHAnsi"/>
          <w:sz w:val="22"/>
          <w:szCs w:val="22"/>
        </w:rPr>
      </w:pPr>
      <w:r w:rsidRPr="00C74987">
        <w:rPr>
          <w:rFonts w:asciiTheme="majorHAnsi" w:eastAsia="Times New Roman" w:hAnsiTheme="majorHAnsi" w:cs="Times New Roman"/>
          <w:color w:val="000000"/>
          <w:sz w:val="22"/>
          <w:szCs w:val="22"/>
          <w:lang w:eastAsia="en-AU"/>
        </w:rPr>
        <w:t xml:space="preserve">To achieve the objectives of this </w:t>
      </w:r>
      <w:r w:rsidR="006C7B49">
        <w:rPr>
          <w:rFonts w:asciiTheme="majorHAnsi" w:eastAsia="Times New Roman" w:hAnsiTheme="majorHAnsi" w:cs="Times New Roman"/>
          <w:color w:val="000000"/>
          <w:sz w:val="22"/>
          <w:szCs w:val="22"/>
          <w:lang w:eastAsia="en-AU"/>
        </w:rPr>
        <w:t>Planning Proposal</w:t>
      </w:r>
      <w:r w:rsidRPr="00C74987">
        <w:rPr>
          <w:rFonts w:asciiTheme="majorHAnsi" w:eastAsia="Times New Roman" w:hAnsiTheme="majorHAnsi" w:cs="Times New Roman"/>
          <w:color w:val="000000"/>
          <w:sz w:val="22"/>
          <w:szCs w:val="22"/>
          <w:lang w:eastAsia="en-AU"/>
        </w:rPr>
        <w:t xml:space="preserve">, it is intended to make </w:t>
      </w:r>
      <w:r w:rsidR="00DA34ED" w:rsidRPr="00C74987">
        <w:rPr>
          <w:rFonts w:asciiTheme="majorHAnsi" w:eastAsia="Times New Roman" w:hAnsiTheme="majorHAnsi" w:cs="Times New Roman"/>
          <w:color w:val="000000"/>
          <w:sz w:val="22"/>
          <w:szCs w:val="22"/>
          <w:lang w:eastAsia="en-AU"/>
        </w:rPr>
        <w:t xml:space="preserve">the following </w:t>
      </w:r>
      <w:r w:rsidRPr="00C74987">
        <w:rPr>
          <w:rFonts w:asciiTheme="majorHAnsi" w:eastAsia="Times New Roman" w:hAnsiTheme="majorHAnsi" w:cs="Times New Roman"/>
          <w:color w:val="000000"/>
          <w:sz w:val="22"/>
          <w:szCs w:val="22"/>
          <w:lang w:eastAsia="en-AU"/>
        </w:rPr>
        <w:t xml:space="preserve">amendments </w:t>
      </w:r>
      <w:r w:rsidR="000C3254" w:rsidRPr="00C74987">
        <w:rPr>
          <w:rFonts w:asciiTheme="majorHAnsi" w:eastAsia="Times New Roman" w:hAnsiTheme="majorHAnsi" w:cs="Times New Roman"/>
          <w:color w:val="000000"/>
          <w:sz w:val="22"/>
          <w:szCs w:val="22"/>
          <w:lang w:eastAsia="en-AU"/>
        </w:rPr>
        <w:t>to Muswellbrook LEP 2009</w:t>
      </w:r>
      <w:r w:rsidRPr="00C74987">
        <w:rPr>
          <w:rFonts w:asciiTheme="majorHAnsi" w:eastAsia="Times New Roman" w:hAnsiTheme="majorHAnsi" w:cs="Times New Roman"/>
          <w:color w:val="000000"/>
          <w:sz w:val="22"/>
          <w:szCs w:val="22"/>
          <w:lang w:eastAsia="en-AU"/>
        </w:rPr>
        <w:t>:</w:t>
      </w:r>
      <w:r w:rsidRPr="00C74987">
        <w:rPr>
          <w:rFonts w:asciiTheme="majorHAnsi" w:hAnsiTheme="majorHAnsi"/>
          <w:sz w:val="22"/>
          <w:szCs w:val="22"/>
        </w:rPr>
        <w:t xml:space="preserve"> </w:t>
      </w:r>
    </w:p>
    <w:p w:rsidR="004934FF" w:rsidRPr="00C74987" w:rsidRDefault="004934FF" w:rsidP="00EF1DC3">
      <w:pPr>
        <w:pStyle w:val="ListParagraph"/>
        <w:numPr>
          <w:ilvl w:val="0"/>
          <w:numId w:val="26"/>
        </w:numPr>
        <w:spacing w:after="80"/>
        <w:ind w:left="426" w:hanging="284"/>
        <w:contextualSpacing w:val="0"/>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 xml:space="preserve">Amend Land Zoning Map (LZN_005 and LZN_005B) by rezoning Lot 1 DP 323945 from RU1 Primary Production to R5 Large Lot Residential as shown in </w:t>
      </w:r>
      <w:r w:rsidR="00EF1DC3">
        <w:rPr>
          <w:rFonts w:asciiTheme="majorHAnsi" w:eastAsia="Times New Roman" w:hAnsiTheme="majorHAnsi" w:cs="Times New Roman"/>
          <w:color w:val="000000"/>
          <w:sz w:val="22"/>
          <w:szCs w:val="22"/>
          <w:lang w:eastAsia="en-AU"/>
        </w:rPr>
        <w:t>Part 3.4 MAP A.</w:t>
      </w:r>
      <w:r w:rsidRPr="00C74987">
        <w:rPr>
          <w:rFonts w:asciiTheme="majorHAnsi" w:eastAsia="Times New Roman" w:hAnsiTheme="majorHAnsi" w:cs="Times New Roman"/>
          <w:color w:val="000000"/>
          <w:sz w:val="22"/>
          <w:szCs w:val="22"/>
          <w:lang w:eastAsia="en-AU"/>
        </w:rPr>
        <w:t xml:space="preserve"> </w:t>
      </w:r>
    </w:p>
    <w:p w:rsidR="004934FF" w:rsidRPr="00C74987" w:rsidRDefault="004934FF" w:rsidP="00EF1DC3">
      <w:pPr>
        <w:pStyle w:val="ListParagraph"/>
        <w:numPr>
          <w:ilvl w:val="0"/>
          <w:numId w:val="26"/>
        </w:numPr>
        <w:spacing w:after="120"/>
        <w:ind w:left="426" w:hanging="284"/>
        <w:contextualSpacing w:val="0"/>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Amend Lot Size Map (LSZ_005 and LSZ_005B) to reflect minimum lot size as 4000m</w:t>
      </w:r>
      <w:r w:rsidRPr="00C74987">
        <w:rPr>
          <w:rFonts w:asciiTheme="majorHAnsi" w:eastAsia="Times New Roman" w:hAnsiTheme="majorHAnsi" w:cs="Times New Roman"/>
          <w:color w:val="000000"/>
          <w:sz w:val="22"/>
          <w:szCs w:val="22"/>
          <w:vertAlign w:val="superscript"/>
          <w:lang w:eastAsia="en-AU"/>
        </w:rPr>
        <w:t>2</w:t>
      </w:r>
      <w:r w:rsidRPr="00C74987">
        <w:rPr>
          <w:rFonts w:asciiTheme="majorHAnsi" w:eastAsia="Times New Roman" w:hAnsiTheme="majorHAnsi" w:cs="Times New Roman"/>
          <w:color w:val="000000"/>
          <w:sz w:val="22"/>
          <w:szCs w:val="22"/>
          <w:lang w:eastAsia="en-AU"/>
        </w:rPr>
        <w:t xml:space="preserve"> as shown in Part </w:t>
      </w:r>
      <w:r w:rsidRPr="00A42F6D">
        <w:rPr>
          <w:rFonts w:asciiTheme="majorHAnsi" w:eastAsia="Times New Roman" w:hAnsiTheme="majorHAnsi" w:cs="Times New Roman"/>
          <w:color w:val="000000"/>
          <w:sz w:val="22"/>
          <w:szCs w:val="22"/>
          <w:lang w:eastAsia="en-AU"/>
        </w:rPr>
        <w:t>3.4 MAP B</w:t>
      </w:r>
      <w:r w:rsidR="00EF1DC3">
        <w:rPr>
          <w:rFonts w:asciiTheme="majorHAnsi" w:eastAsia="Times New Roman" w:hAnsiTheme="majorHAnsi" w:cs="Times New Roman"/>
          <w:color w:val="000000"/>
          <w:sz w:val="22"/>
          <w:szCs w:val="22"/>
          <w:lang w:eastAsia="en-AU"/>
        </w:rPr>
        <w:t>.</w:t>
      </w:r>
      <w:r w:rsidRPr="00C74987">
        <w:rPr>
          <w:rFonts w:asciiTheme="majorHAnsi" w:eastAsia="Times New Roman" w:hAnsiTheme="majorHAnsi" w:cs="Times New Roman"/>
          <w:color w:val="000000"/>
          <w:sz w:val="22"/>
          <w:szCs w:val="22"/>
          <w:lang w:eastAsia="en-AU"/>
        </w:rPr>
        <w:t xml:space="preserve"> </w:t>
      </w:r>
    </w:p>
    <w:p w:rsidR="00EB2712" w:rsidRDefault="004934FF" w:rsidP="00EB2712">
      <w:pPr>
        <w:pStyle w:val="ListParagraph"/>
        <w:numPr>
          <w:ilvl w:val="0"/>
          <w:numId w:val="26"/>
        </w:numPr>
        <w:spacing w:after="120"/>
        <w:ind w:left="426" w:hanging="284"/>
        <w:contextualSpacing w:val="0"/>
        <w:jc w:val="both"/>
        <w:rPr>
          <w:rFonts w:asciiTheme="majorHAnsi" w:eastAsia="Times New Roman" w:hAnsiTheme="majorHAnsi" w:cs="Times New Roman"/>
          <w:color w:val="000000"/>
          <w:sz w:val="22"/>
          <w:szCs w:val="22"/>
          <w:lang w:eastAsia="en-AU"/>
        </w:rPr>
      </w:pPr>
      <w:r w:rsidRPr="00C74987">
        <w:rPr>
          <w:rFonts w:asciiTheme="majorHAnsi" w:eastAsia="Times New Roman" w:hAnsiTheme="majorHAnsi" w:cs="Times New Roman"/>
          <w:color w:val="000000"/>
          <w:sz w:val="22"/>
          <w:szCs w:val="22"/>
          <w:lang w:eastAsia="en-AU"/>
        </w:rPr>
        <w:t xml:space="preserve">Amend Height of Building Map (HOB_005 and HOB_005B) to reflect a maximum height of 8.5 metres as shown in </w:t>
      </w:r>
      <w:r w:rsidRPr="00A42F6D">
        <w:rPr>
          <w:rFonts w:asciiTheme="majorHAnsi" w:eastAsia="Times New Roman" w:hAnsiTheme="majorHAnsi" w:cs="Times New Roman"/>
          <w:color w:val="000000"/>
          <w:sz w:val="22"/>
          <w:szCs w:val="22"/>
          <w:lang w:eastAsia="en-AU"/>
        </w:rPr>
        <w:t>Part 3.4 MAP C.</w:t>
      </w:r>
    </w:p>
    <w:p w:rsidR="00EB2712" w:rsidRPr="00EB2712" w:rsidRDefault="00EB2712" w:rsidP="00EB2712">
      <w:pPr>
        <w:pStyle w:val="ListParagraph"/>
        <w:numPr>
          <w:ilvl w:val="0"/>
          <w:numId w:val="26"/>
        </w:numPr>
        <w:spacing w:after="120"/>
        <w:ind w:left="426" w:hanging="284"/>
        <w:contextualSpacing w:val="0"/>
        <w:jc w:val="both"/>
        <w:rPr>
          <w:rFonts w:asciiTheme="majorHAnsi" w:eastAsia="Times New Roman" w:hAnsiTheme="majorHAnsi" w:cs="Times New Roman"/>
          <w:color w:val="000000"/>
          <w:sz w:val="22"/>
          <w:szCs w:val="22"/>
          <w:lang w:eastAsia="en-AU"/>
        </w:rPr>
      </w:pPr>
      <w:r w:rsidRPr="00EB2712">
        <w:rPr>
          <w:rFonts w:asciiTheme="majorHAnsi" w:eastAsia="Times New Roman" w:hAnsiTheme="majorHAnsi" w:cs="Times New Roman"/>
          <w:color w:val="000000"/>
          <w:sz w:val="22"/>
          <w:szCs w:val="22"/>
          <w:lang w:eastAsia="en-AU"/>
        </w:rPr>
        <w:t>Amend Urban Release Area Map (URA_005 and URA_005A) to identify Lot 1 DP 323945 as an Urban Release Area</w:t>
      </w:r>
      <w:r w:rsidR="001917A9">
        <w:rPr>
          <w:rFonts w:asciiTheme="majorHAnsi" w:eastAsia="Times New Roman" w:hAnsiTheme="majorHAnsi" w:cs="Times New Roman"/>
          <w:color w:val="000000"/>
          <w:sz w:val="22"/>
          <w:szCs w:val="22"/>
          <w:lang w:eastAsia="en-AU"/>
        </w:rPr>
        <w:t xml:space="preserve"> </w:t>
      </w:r>
      <w:r w:rsidR="001917A9" w:rsidRPr="00C74987">
        <w:rPr>
          <w:rFonts w:asciiTheme="majorHAnsi" w:eastAsia="Times New Roman" w:hAnsiTheme="majorHAnsi" w:cs="Times New Roman"/>
          <w:color w:val="000000"/>
          <w:sz w:val="22"/>
          <w:szCs w:val="22"/>
          <w:lang w:eastAsia="en-AU"/>
        </w:rPr>
        <w:t xml:space="preserve">as shown in </w:t>
      </w:r>
      <w:r w:rsidR="001917A9">
        <w:rPr>
          <w:rFonts w:asciiTheme="majorHAnsi" w:eastAsia="Times New Roman" w:hAnsiTheme="majorHAnsi" w:cs="Times New Roman"/>
          <w:color w:val="000000"/>
          <w:sz w:val="22"/>
          <w:szCs w:val="22"/>
          <w:lang w:eastAsia="en-AU"/>
        </w:rPr>
        <w:t>Part 3.4 MAP D.</w:t>
      </w:r>
    </w:p>
    <w:p w:rsidR="000607BC" w:rsidRPr="00A24133" w:rsidRDefault="000607BC" w:rsidP="00A24133">
      <w:pPr>
        <w:widowControl w:val="0"/>
        <w:suppressAutoHyphens/>
        <w:autoSpaceDE w:val="0"/>
        <w:autoSpaceDN w:val="0"/>
        <w:adjustRightInd w:val="0"/>
        <w:spacing w:after="0" w:line="300" w:lineRule="atLeast"/>
        <w:textAlignment w:val="center"/>
        <w:rPr>
          <w:rFonts w:ascii="MBembo" w:hAnsi="MBembo" w:cs="MBembo"/>
          <w:color w:val="000000"/>
          <w:sz w:val="22"/>
          <w:szCs w:val="22"/>
          <w:lang w:val="en-GB"/>
        </w:rPr>
      </w:pPr>
    </w:p>
    <w:p w:rsidR="00A24133" w:rsidRDefault="00A24133" w:rsidP="00C5403F">
      <w:pPr>
        <w:keepLines/>
        <w:spacing w:after="0"/>
        <w:jc w:val="both"/>
        <w:rPr>
          <w:rFonts w:ascii="Trebuchet MS" w:eastAsia="Times New Roman" w:hAnsi="Trebuchet MS" w:cs="Arial"/>
          <w:b/>
          <w:lang w:eastAsia="en-AU"/>
        </w:rPr>
      </w:pPr>
      <w:r>
        <w:rPr>
          <w:rFonts w:ascii="Trebuchet MS" w:eastAsia="Times New Roman" w:hAnsi="Trebuchet MS" w:cs="Arial"/>
          <w:b/>
          <w:lang w:eastAsia="en-AU"/>
        </w:rPr>
        <w:t>3.3</w:t>
      </w:r>
      <w:r>
        <w:rPr>
          <w:rFonts w:ascii="Trebuchet MS" w:eastAsia="Times New Roman" w:hAnsi="Trebuchet MS" w:cs="Arial"/>
          <w:b/>
          <w:lang w:eastAsia="en-AU"/>
        </w:rPr>
        <w:tab/>
        <w:t>Jus</w:t>
      </w:r>
      <w:bookmarkStart w:id="6" w:name="just_3_3"/>
      <w:bookmarkEnd w:id="6"/>
      <w:r>
        <w:rPr>
          <w:rFonts w:ascii="Trebuchet MS" w:eastAsia="Times New Roman" w:hAnsi="Trebuchet MS" w:cs="Arial"/>
          <w:b/>
          <w:lang w:eastAsia="en-AU"/>
        </w:rPr>
        <w:t>tification</w:t>
      </w:r>
    </w:p>
    <w:p w:rsidR="009757DA" w:rsidRPr="00C5403F" w:rsidRDefault="009757DA" w:rsidP="00C5403F">
      <w:pPr>
        <w:keepLines/>
        <w:spacing w:after="0"/>
        <w:jc w:val="both"/>
        <w:rPr>
          <w:rFonts w:ascii="Trebuchet MS" w:eastAsia="Times New Roman" w:hAnsi="Trebuchet MS" w:cs="Arial"/>
          <w:b/>
          <w:lang w:eastAsia="en-AU"/>
        </w:rPr>
      </w:pPr>
    </w:p>
    <w:p w:rsidR="009757DA" w:rsidRPr="00422DA0" w:rsidRDefault="005941A9" w:rsidP="00422DA0">
      <w:pPr>
        <w:keepLines/>
        <w:spacing w:after="0"/>
        <w:jc w:val="both"/>
        <w:rPr>
          <w:rFonts w:ascii="Trebuchet MS" w:eastAsia="Times New Roman" w:hAnsi="Trebuchet MS" w:cs="Arial"/>
          <w:b/>
          <w:sz w:val="22"/>
          <w:szCs w:val="22"/>
          <w:lang w:eastAsia="en-AU"/>
        </w:rPr>
      </w:pPr>
      <w:r>
        <w:rPr>
          <w:rFonts w:ascii="Trebuchet MS" w:eastAsia="Times New Roman" w:hAnsi="Trebuchet MS" w:cs="Arial"/>
          <w:b/>
          <w:sz w:val="22"/>
          <w:szCs w:val="22"/>
          <w:lang w:eastAsia="en-AU"/>
        </w:rPr>
        <w:t>3.3.1</w:t>
      </w:r>
      <w:r>
        <w:rPr>
          <w:rFonts w:ascii="Trebuchet MS" w:eastAsia="Times New Roman" w:hAnsi="Trebuchet MS" w:cs="Arial"/>
          <w:b/>
          <w:sz w:val="22"/>
          <w:szCs w:val="22"/>
          <w:lang w:eastAsia="en-AU"/>
        </w:rPr>
        <w:tab/>
        <w:t xml:space="preserve">Section </w:t>
      </w:r>
      <w:proofErr w:type="gramStart"/>
      <w:r>
        <w:rPr>
          <w:rFonts w:ascii="Trebuchet MS" w:eastAsia="Times New Roman" w:hAnsi="Trebuchet MS" w:cs="Arial"/>
          <w:b/>
          <w:sz w:val="22"/>
          <w:szCs w:val="22"/>
          <w:lang w:eastAsia="en-AU"/>
        </w:rPr>
        <w:t>A</w:t>
      </w:r>
      <w:proofErr w:type="gramEnd"/>
      <w:r>
        <w:rPr>
          <w:rFonts w:ascii="Trebuchet MS" w:eastAsia="Times New Roman" w:hAnsi="Trebuchet MS" w:cs="Arial"/>
          <w:b/>
          <w:sz w:val="22"/>
          <w:szCs w:val="22"/>
          <w:lang w:eastAsia="en-AU"/>
        </w:rPr>
        <w:t xml:space="preserve"> —</w:t>
      </w:r>
      <w:r w:rsidR="009757DA" w:rsidRPr="00422DA0">
        <w:rPr>
          <w:rFonts w:ascii="Trebuchet MS" w:eastAsia="Times New Roman" w:hAnsi="Trebuchet MS" w:cs="Arial"/>
          <w:b/>
          <w:sz w:val="22"/>
          <w:szCs w:val="22"/>
          <w:lang w:eastAsia="en-AU"/>
        </w:rPr>
        <w:t xml:space="preserve"> Ne</w:t>
      </w:r>
      <w:bookmarkStart w:id="7" w:name="Sec_A"/>
      <w:bookmarkEnd w:id="7"/>
      <w:r w:rsidR="009757DA" w:rsidRPr="00422DA0">
        <w:rPr>
          <w:rFonts w:ascii="Trebuchet MS" w:eastAsia="Times New Roman" w:hAnsi="Trebuchet MS" w:cs="Arial"/>
          <w:b/>
          <w:sz w:val="22"/>
          <w:szCs w:val="22"/>
          <w:lang w:eastAsia="en-AU"/>
        </w:rPr>
        <w:t xml:space="preserve">ed for the </w:t>
      </w:r>
      <w:r w:rsidR="006C7B49">
        <w:rPr>
          <w:rFonts w:ascii="Trebuchet MS" w:eastAsia="Times New Roman" w:hAnsi="Trebuchet MS" w:cs="Arial"/>
          <w:b/>
          <w:sz w:val="22"/>
          <w:szCs w:val="22"/>
          <w:lang w:eastAsia="en-AU"/>
        </w:rPr>
        <w:t>Planning Proposal</w:t>
      </w:r>
    </w:p>
    <w:p w:rsidR="00422DA0" w:rsidRDefault="00422DA0" w:rsidP="00422DA0">
      <w:pPr>
        <w:spacing w:before="240" w:after="240" w:line="280" w:lineRule="exact"/>
        <w:contextualSpacing/>
        <w:jc w:val="both"/>
        <w:rPr>
          <w:rFonts w:ascii="Trebuchet MS" w:eastAsia="Times New Roman" w:hAnsi="Trebuchet MS" w:cs="Times New Roman"/>
          <w:b/>
          <w:i/>
          <w:color w:val="000000"/>
          <w:sz w:val="19"/>
          <w:lang w:eastAsia="en-AU"/>
        </w:rPr>
      </w:pPr>
    </w:p>
    <w:p w:rsidR="00422DA0" w:rsidRPr="00D21F75" w:rsidRDefault="009757DA" w:rsidP="00422DA0">
      <w:pPr>
        <w:spacing w:before="240" w:after="240" w:line="280" w:lineRule="exact"/>
        <w:contextualSpacing/>
        <w:jc w:val="both"/>
        <w:rPr>
          <w:rFonts w:asciiTheme="majorHAnsi" w:eastAsia="Times New Roman" w:hAnsiTheme="majorHAnsi" w:cs="Times New Roman"/>
          <w:b/>
          <w:i/>
          <w:color w:val="000000"/>
          <w:sz w:val="23"/>
          <w:szCs w:val="23"/>
          <w:lang w:eastAsia="en-AU"/>
        </w:rPr>
      </w:pPr>
      <w:r w:rsidRPr="00D21F75">
        <w:rPr>
          <w:rFonts w:asciiTheme="majorHAnsi" w:eastAsia="Times New Roman" w:hAnsiTheme="majorHAnsi" w:cs="Times New Roman"/>
          <w:b/>
          <w:i/>
          <w:color w:val="000000"/>
          <w:sz w:val="23"/>
          <w:szCs w:val="23"/>
          <w:lang w:eastAsia="en-AU"/>
        </w:rPr>
        <w:t xml:space="preserve">Is the </w:t>
      </w:r>
      <w:r w:rsidR="006C7B49">
        <w:rPr>
          <w:rFonts w:asciiTheme="majorHAnsi" w:eastAsia="Times New Roman" w:hAnsiTheme="majorHAnsi" w:cs="Times New Roman"/>
          <w:b/>
          <w:i/>
          <w:color w:val="000000"/>
          <w:sz w:val="23"/>
          <w:szCs w:val="23"/>
          <w:lang w:eastAsia="en-AU"/>
        </w:rPr>
        <w:t>Planning Proposal</w:t>
      </w:r>
      <w:r w:rsidRPr="00D21F75">
        <w:rPr>
          <w:rFonts w:asciiTheme="majorHAnsi" w:eastAsia="Times New Roman" w:hAnsiTheme="majorHAnsi" w:cs="Times New Roman"/>
          <w:b/>
          <w:i/>
          <w:color w:val="000000"/>
          <w:sz w:val="23"/>
          <w:szCs w:val="23"/>
          <w:lang w:eastAsia="en-AU"/>
        </w:rPr>
        <w:t xml:space="preserve"> a result of any strategic study or report?</w:t>
      </w:r>
    </w:p>
    <w:p w:rsidR="004934FF" w:rsidRPr="00EF1DC3" w:rsidRDefault="004934FF" w:rsidP="00EF1DC3">
      <w:pPr>
        <w:spacing w:after="0" w:line="280" w:lineRule="exact"/>
        <w:contextualSpacing/>
        <w:jc w:val="both"/>
        <w:rPr>
          <w:rFonts w:asciiTheme="majorHAnsi" w:eastAsia="Times New Roman" w:hAnsiTheme="majorHAnsi" w:cs="Times New Roman"/>
          <w:color w:val="000000"/>
          <w:sz w:val="16"/>
          <w:szCs w:val="22"/>
          <w:lang w:eastAsia="en-AU"/>
        </w:rPr>
      </w:pPr>
    </w:p>
    <w:p w:rsidR="00A235F6" w:rsidRPr="00D21F75" w:rsidRDefault="00047219" w:rsidP="00EF1DC3">
      <w:pPr>
        <w:spacing w:before="240" w:after="120" w:line="280" w:lineRule="exact"/>
        <w:contextualSpacing/>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t xml:space="preserve">On 10 March 2014 </w:t>
      </w:r>
      <w:r w:rsidR="009757DA" w:rsidRPr="00D21F75">
        <w:rPr>
          <w:rFonts w:asciiTheme="majorHAnsi" w:eastAsia="Times New Roman" w:hAnsiTheme="majorHAnsi" w:cs="Times New Roman"/>
          <w:color w:val="000000"/>
          <w:sz w:val="22"/>
          <w:szCs w:val="22"/>
          <w:lang w:eastAsia="en-AU"/>
        </w:rPr>
        <w:t>Muswellbrook</w:t>
      </w:r>
      <w:r w:rsidR="00A83AD0" w:rsidRPr="00D21F75">
        <w:rPr>
          <w:rFonts w:asciiTheme="majorHAnsi" w:eastAsia="Times New Roman" w:hAnsiTheme="majorHAnsi" w:cs="Times New Roman"/>
          <w:color w:val="000000"/>
          <w:sz w:val="22"/>
          <w:szCs w:val="22"/>
          <w:lang w:eastAsia="en-AU"/>
        </w:rPr>
        <w:t xml:space="preserve"> Shire </w:t>
      </w:r>
      <w:r w:rsidR="009757DA" w:rsidRPr="00D21F75">
        <w:rPr>
          <w:rFonts w:asciiTheme="majorHAnsi" w:eastAsia="Times New Roman" w:hAnsiTheme="majorHAnsi" w:cs="Times New Roman"/>
          <w:color w:val="000000"/>
          <w:sz w:val="22"/>
          <w:szCs w:val="22"/>
          <w:lang w:eastAsia="en-AU"/>
        </w:rPr>
        <w:t xml:space="preserve">Council </w:t>
      </w:r>
      <w:r w:rsidR="00A83AD0" w:rsidRPr="00D21F75">
        <w:rPr>
          <w:rFonts w:asciiTheme="majorHAnsi" w:eastAsia="Times New Roman" w:hAnsiTheme="majorHAnsi" w:cs="Times New Roman"/>
          <w:color w:val="000000"/>
          <w:sz w:val="22"/>
          <w:szCs w:val="22"/>
          <w:lang w:eastAsia="en-AU"/>
        </w:rPr>
        <w:t xml:space="preserve">adopted </w:t>
      </w:r>
      <w:r w:rsidRPr="00D21F75">
        <w:rPr>
          <w:rFonts w:asciiTheme="majorHAnsi" w:eastAsia="Times New Roman" w:hAnsiTheme="majorHAnsi" w:cs="Times New Roman"/>
          <w:color w:val="000000"/>
          <w:sz w:val="22"/>
          <w:szCs w:val="22"/>
          <w:lang w:eastAsia="en-AU"/>
        </w:rPr>
        <w:t>the Muswellbrook Residential and Rur</w:t>
      </w:r>
      <w:r w:rsidR="00EF1DC3">
        <w:rPr>
          <w:rFonts w:asciiTheme="majorHAnsi" w:eastAsia="Times New Roman" w:hAnsiTheme="majorHAnsi" w:cs="Times New Roman"/>
          <w:color w:val="000000"/>
          <w:sz w:val="22"/>
          <w:szCs w:val="22"/>
          <w:lang w:eastAsia="en-AU"/>
        </w:rPr>
        <w:t xml:space="preserve">al Residential Strategy (MRRRS).  </w:t>
      </w:r>
      <w:r w:rsidR="00A235F6" w:rsidRPr="00D21F75">
        <w:rPr>
          <w:rFonts w:asciiTheme="majorHAnsi" w:eastAsia="Times New Roman" w:hAnsiTheme="majorHAnsi" w:cs="Times New Roman"/>
          <w:color w:val="000000"/>
          <w:sz w:val="22"/>
          <w:szCs w:val="22"/>
          <w:lang w:eastAsia="en-AU"/>
        </w:rPr>
        <w:t>The following key findings of the MRRRS are highlighted, as they relate to Weabron:</w:t>
      </w:r>
    </w:p>
    <w:p w:rsidR="00A235F6" w:rsidRPr="00D21F75" w:rsidRDefault="00B1576D" w:rsidP="00EF1DC3">
      <w:pPr>
        <w:pStyle w:val="ListParagraph"/>
        <w:numPr>
          <w:ilvl w:val="0"/>
          <w:numId w:val="23"/>
        </w:numPr>
        <w:tabs>
          <w:tab w:val="clear" w:pos="850"/>
          <w:tab w:val="num" w:pos="709"/>
        </w:tabs>
        <w:spacing w:after="120"/>
        <w:ind w:left="426" w:hanging="284"/>
        <w:contextualSpacing w:val="0"/>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t>The MRRRS</w:t>
      </w:r>
      <w:r w:rsidR="00562455" w:rsidRPr="00D21F75">
        <w:rPr>
          <w:rFonts w:asciiTheme="majorHAnsi" w:eastAsia="Times New Roman" w:hAnsiTheme="majorHAnsi" w:cs="Times New Roman"/>
          <w:color w:val="000000"/>
          <w:sz w:val="22"/>
          <w:szCs w:val="22"/>
          <w:lang w:eastAsia="en-AU"/>
        </w:rPr>
        <w:t xml:space="preserve"> identifies Weabron (referred to as Candidate Area A) </w:t>
      </w:r>
      <w:r w:rsidRPr="00D21F75">
        <w:rPr>
          <w:rFonts w:asciiTheme="majorHAnsi" w:eastAsia="Times New Roman" w:hAnsiTheme="majorHAnsi" w:cs="Times New Roman"/>
          <w:color w:val="000000"/>
          <w:sz w:val="22"/>
          <w:szCs w:val="22"/>
          <w:lang w:eastAsia="en-AU"/>
        </w:rPr>
        <w:t xml:space="preserve">as the </w:t>
      </w:r>
      <w:r w:rsidR="00562455" w:rsidRPr="00D21F75">
        <w:rPr>
          <w:rFonts w:asciiTheme="majorHAnsi" w:eastAsia="Times New Roman" w:hAnsiTheme="majorHAnsi" w:cs="Times New Roman"/>
          <w:color w:val="000000"/>
          <w:sz w:val="22"/>
          <w:szCs w:val="22"/>
          <w:lang w:eastAsia="en-AU"/>
        </w:rPr>
        <w:t xml:space="preserve">preferred candidate area for rural residential development in Denman, being the least constrained both environmentally and from an infrastructure servicing </w:t>
      </w:r>
      <w:r w:rsidR="008402C1" w:rsidRPr="00D21F75">
        <w:rPr>
          <w:rFonts w:asciiTheme="majorHAnsi" w:eastAsia="Times New Roman" w:hAnsiTheme="majorHAnsi" w:cs="Times New Roman"/>
          <w:color w:val="000000"/>
          <w:sz w:val="22"/>
          <w:szCs w:val="22"/>
          <w:lang w:eastAsia="en-AU"/>
        </w:rPr>
        <w:t>perspective</w:t>
      </w:r>
      <w:r w:rsidR="00BA7A84" w:rsidRPr="00D21F75">
        <w:rPr>
          <w:rFonts w:asciiTheme="majorHAnsi" w:eastAsia="Times New Roman" w:hAnsiTheme="majorHAnsi" w:cs="Times New Roman"/>
          <w:color w:val="000000"/>
          <w:sz w:val="22"/>
          <w:szCs w:val="22"/>
          <w:lang w:eastAsia="en-AU"/>
        </w:rPr>
        <w:t>s</w:t>
      </w:r>
      <w:r w:rsidR="00562455" w:rsidRPr="00D21F75">
        <w:rPr>
          <w:rFonts w:asciiTheme="majorHAnsi" w:eastAsia="Times New Roman" w:hAnsiTheme="majorHAnsi" w:cs="Times New Roman"/>
          <w:color w:val="000000"/>
          <w:sz w:val="22"/>
          <w:szCs w:val="22"/>
          <w:lang w:eastAsia="en-AU"/>
        </w:rPr>
        <w:t xml:space="preserve">. </w:t>
      </w:r>
    </w:p>
    <w:p w:rsidR="00A235F6" w:rsidRPr="00D21F75" w:rsidRDefault="000D7B25" w:rsidP="00EF1DC3">
      <w:pPr>
        <w:pStyle w:val="ListParagraph"/>
        <w:numPr>
          <w:ilvl w:val="0"/>
          <w:numId w:val="23"/>
        </w:numPr>
        <w:tabs>
          <w:tab w:val="clear" w:pos="850"/>
          <w:tab w:val="num" w:pos="709"/>
        </w:tabs>
        <w:spacing w:before="120" w:after="120"/>
        <w:ind w:left="426" w:hanging="284"/>
        <w:contextualSpacing w:val="0"/>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t xml:space="preserve">The MRRRS nominates Waebron as ‘Category 1’ land which is defined as </w:t>
      </w:r>
      <w:r w:rsidRPr="00D21F75">
        <w:rPr>
          <w:rFonts w:asciiTheme="majorHAnsi" w:eastAsia="Times New Roman" w:hAnsiTheme="majorHAnsi" w:cs="Times New Roman"/>
          <w:i/>
          <w:color w:val="000000"/>
          <w:sz w:val="22"/>
          <w:szCs w:val="22"/>
          <w:lang w:eastAsia="en-AU"/>
        </w:rPr>
        <w:t>“land that is a logical extension of and located in close proximity to existing developed areas, building upon existing services and amenities and requires the augmentation of infrastructure”</w:t>
      </w:r>
      <w:r w:rsidRPr="00D21F75">
        <w:rPr>
          <w:rFonts w:asciiTheme="majorHAnsi" w:eastAsia="Times New Roman" w:hAnsiTheme="majorHAnsi" w:cs="Times New Roman"/>
          <w:color w:val="000000"/>
          <w:sz w:val="22"/>
          <w:szCs w:val="22"/>
          <w:lang w:eastAsia="en-AU"/>
        </w:rPr>
        <w:t xml:space="preserve">.  The MRRRS requires that Category 1 land may be investigated in the short term and must be rezoned prior to any investigation of Category 2 land. </w:t>
      </w:r>
      <w:r w:rsidR="00A235F6" w:rsidRPr="00D21F75">
        <w:rPr>
          <w:rFonts w:asciiTheme="majorHAnsi" w:eastAsia="Times New Roman" w:hAnsiTheme="majorHAnsi" w:cs="Times New Roman"/>
          <w:color w:val="000000"/>
          <w:sz w:val="22"/>
          <w:szCs w:val="22"/>
          <w:lang w:eastAsia="en-AU"/>
        </w:rPr>
        <w:t xml:space="preserve"> </w:t>
      </w:r>
    </w:p>
    <w:p w:rsidR="00A235F6" w:rsidRPr="00D21F75" w:rsidRDefault="00A235F6" w:rsidP="00EF1DC3">
      <w:pPr>
        <w:pStyle w:val="ListParagraph"/>
        <w:numPr>
          <w:ilvl w:val="0"/>
          <w:numId w:val="23"/>
        </w:numPr>
        <w:tabs>
          <w:tab w:val="clear" w:pos="850"/>
          <w:tab w:val="num" w:pos="709"/>
        </w:tabs>
        <w:spacing w:before="120" w:after="120"/>
        <w:ind w:left="426" w:hanging="284"/>
        <w:contextualSpacing w:val="0"/>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t xml:space="preserve">The MRRRS provides for Weabron to be rezoned to R5 with land to be released within the short term (2016-2021) to ensure adequate supply and contestability in the market. </w:t>
      </w:r>
      <w:r w:rsidR="000D7B25" w:rsidRPr="00D21F75">
        <w:rPr>
          <w:rFonts w:asciiTheme="majorHAnsi" w:eastAsia="Times New Roman" w:hAnsiTheme="majorHAnsi" w:cs="Times New Roman"/>
          <w:color w:val="000000"/>
          <w:sz w:val="22"/>
          <w:szCs w:val="22"/>
          <w:lang w:eastAsia="en-AU"/>
        </w:rPr>
        <w:t xml:space="preserve"> </w:t>
      </w:r>
    </w:p>
    <w:p w:rsidR="00C5403F" w:rsidRDefault="00A83AD0" w:rsidP="00EF1DC3">
      <w:pPr>
        <w:spacing w:after="0" w:line="280" w:lineRule="exact"/>
        <w:contextualSpacing/>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lastRenderedPageBreak/>
        <w:t>It is considered that t</w:t>
      </w:r>
      <w:r w:rsidR="00A235F6" w:rsidRPr="00D21F75">
        <w:rPr>
          <w:rFonts w:asciiTheme="majorHAnsi" w:eastAsia="Times New Roman" w:hAnsiTheme="majorHAnsi" w:cs="Times New Roman"/>
          <w:color w:val="000000"/>
          <w:sz w:val="22"/>
          <w:szCs w:val="22"/>
          <w:lang w:eastAsia="en-AU"/>
        </w:rPr>
        <w:t xml:space="preserve">he rezoning of Waebron from RU1 Primary Production to R5 Large Lot Residential is consistent with the findings of the </w:t>
      </w:r>
      <w:r w:rsidR="00D22D37" w:rsidRPr="00D21F75">
        <w:rPr>
          <w:rFonts w:asciiTheme="majorHAnsi" w:eastAsia="Times New Roman" w:hAnsiTheme="majorHAnsi" w:cs="Times New Roman"/>
          <w:color w:val="000000"/>
          <w:sz w:val="22"/>
          <w:szCs w:val="22"/>
          <w:lang w:eastAsia="en-AU"/>
        </w:rPr>
        <w:t xml:space="preserve">Council </w:t>
      </w:r>
      <w:r w:rsidR="00A235F6" w:rsidRPr="00D21F75">
        <w:rPr>
          <w:rFonts w:asciiTheme="majorHAnsi" w:eastAsia="Times New Roman" w:hAnsiTheme="majorHAnsi" w:cs="Times New Roman"/>
          <w:color w:val="000000"/>
          <w:sz w:val="22"/>
          <w:szCs w:val="22"/>
          <w:lang w:eastAsia="en-AU"/>
        </w:rPr>
        <w:t xml:space="preserve">adopted MRRRS. </w:t>
      </w:r>
      <w:r w:rsidR="00EF1DC3">
        <w:rPr>
          <w:rFonts w:asciiTheme="majorHAnsi" w:eastAsia="Times New Roman" w:hAnsiTheme="majorHAnsi" w:cs="Times New Roman"/>
          <w:color w:val="000000"/>
          <w:sz w:val="22"/>
          <w:szCs w:val="22"/>
          <w:lang w:eastAsia="en-AU"/>
        </w:rPr>
        <w:t xml:space="preserve">The </w:t>
      </w:r>
      <w:r w:rsidR="006C7B49">
        <w:rPr>
          <w:rFonts w:asciiTheme="majorHAnsi" w:eastAsia="Times New Roman" w:hAnsiTheme="majorHAnsi" w:cs="Times New Roman"/>
          <w:color w:val="000000"/>
          <w:sz w:val="22"/>
          <w:szCs w:val="22"/>
          <w:lang w:eastAsia="en-AU"/>
        </w:rPr>
        <w:t>Planning Proposal</w:t>
      </w:r>
      <w:r w:rsidR="00BD0A9A">
        <w:rPr>
          <w:rFonts w:asciiTheme="majorHAnsi" w:eastAsia="Times New Roman" w:hAnsiTheme="majorHAnsi" w:cs="Times New Roman"/>
          <w:color w:val="000000"/>
          <w:sz w:val="22"/>
          <w:szCs w:val="22"/>
          <w:lang w:eastAsia="en-AU"/>
        </w:rPr>
        <w:t xml:space="preserve"> provide</w:t>
      </w:r>
      <w:r w:rsidR="00463D6E">
        <w:rPr>
          <w:rFonts w:asciiTheme="majorHAnsi" w:eastAsia="Times New Roman" w:hAnsiTheme="majorHAnsi" w:cs="Times New Roman"/>
          <w:color w:val="000000"/>
          <w:sz w:val="22"/>
          <w:szCs w:val="22"/>
          <w:lang w:eastAsia="en-AU"/>
        </w:rPr>
        <w:t>s</w:t>
      </w:r>
      <w:r w:rsidR="00BD0A9A">
        <w:rPr>
          <w:rFonts w:asciiTheme="majorHAnsi" w:eastAsia="Times New Roman" w:hAnsiTheme="majorHAnsi" w:cs="Times New Roman"/>
          <w:color w:val="000000"/>
          <w:sz w:val="22"/>
          <w:szCs w:val="22"/>
          <w:lang w:eastAsia="en-AU"/>
        </w:rPr>
        <w:t xml:space="preserve"> sufficient grounds on which to support the proposed rezoning of the land for </w:t>
      </w:r>
      <w:r w:rsidR="00AA19DD">
        <w:rPr>
          <w:rFonts w:asciiTheme="majorHAnsi" w:eastAsia="Times New Roman" w:hAnsiTheme="majorHAnsi" w:cs="Times New Roman"/>
          <w:color w:val="000000"/>
          <w:sz w:val="22"/>
          <w:szCs w:val="22"/>
          <w:lang w:eastAsia="en-AU"/>
        </w:rPr>
        <w:t>large lot residential purposes.</w:t>
      </w:r>
    </w:p>
    <w:p w:rsidR="004142C3" w:rsidRPr="00D21F75" w:rsidRDefault="004142C3" w:rsidP="00EF1DC3">
      <w:pPr>
        <w:spacing w:after="0" w:line="280" w:lineRule="exact"/>
        <w:contextualSpacing/>
        <w:jc w:val="both"/>
        <w:rPr>
          <w:rFonts w:asciiTheme="majorHAnsi" w:eastAsia="Times New Roman" w:hAnsiTheme="majorHAnsi" w:cs="Times New Roman"/>
          <w:color w:val="000000"/>
          <w:sz w:val="22"/>
          <w:szCs w:val="22"/>
          <w:lang w:eastAsia="en-AU"/>
        </w:rPr>
      </w:pPr>
    </w:p>
    <w:p w:rsidR="009757DA" w:rsidRPr="00D21F75" w:rsidRDefault="009757DA" w:rsidP="00EF1DC3">
      <w:pPr>
        <w:spacing w:after="240" w:line="280" w:lineRule="exact"/>
        <w:contextualSpacing/>
        <w:jc w:val="both"/>
        <w:rPr>
          <w:rFonts w:asciiTheme="majorHAnsi" w:eastAsia="Times New Roman" w:hAnsiTheme="majorHAnsi" w:cs="Times New Roman"/>
          <w:b/>
          <w:i/>
          <w:color w:val="000000"/>
          <w:sz w:val="23"/>
          <w:szCs w:val="23"/>
          <w:lang w:eastAsia="en-AU"/>
        </w:rPr>
      </w:pPr>
      <w:r w:rsidRPr="00D21F75">
        <w:rPr>
          <w:rFonts w:asciiTheme="majorHAnsi" w:eastAsia="Times New Roman" w:hAnsiTheme="majorHAnsi" w:cs="Times New Roman"/>
          <w:b/>
          <w:i/>
          <w:color w:val="000000"/>
          <w:sz w:val="23"/>
          <w:szCs w:val="23"/>
          <w:lang w:eastAsia="en-AU"/>
        </w:rPr>
        <w:t xml:space="preserve">Is the </w:t>
      </w:r>
      <w:r w:rsidR="006C7B49">
        <w:rPr>
          <w:rFonts w:asciiTheme="majorHAnsi" w:eastAsia="Times New Roman" w:hAnsiTheme="majorHAnsi" w:cs="Times New Roman"/>
          <w:b/>
          <w:i/>
          <w:color w:val="000000"/>
          <w:sz w:val="23"/>
          <w:szCs w:val="23"/>
          <w:lang w:eastAsia="en-AU"/>
        </w:rPr>
        <w:t>Planning Proposal</w:t>
      </w:r>
      <w:r w:rsidRPr="00D21F75">
        <w:rPr>
          <w:rFonts w:asciiTheme="majorHAnsi" w:eastAsia="Times New Roman" w:hAnsiTheme="majorHAnsi" w:cs="Times New Roman"/>
          <w:b/>
          <w:i/>
          <w:color w:val="000000"/>
          <w:sz w:val="23"/>
          <w:szCs w:val="23"/>
          <w:lang w:eastAsia="en-AU"/>
        </w:rPr>
        <w:t xml:space="preserve"> the best means of achieving the objectives or intended outcome, or is there a better way?</w:t>
      </w:r>
    </w:p>
    <w:p w:rsidR="007C27D5" w:rsidRPr="00D21F75" w:rsidRDefault="007C27D5" w:rsidP="00422DA0">
      <w:pPr>
        <w:spacing w:before="240" w:after="240" w:line="280" w:lineRule="exact"/>
        <w:contextualSpacing/>
        <w:jc w:val="both"/>
        <w:rPr>
          <w:rFonts w:asciiTheme="majorHAnsi" w:eastAsia="Times New Roman" w:hAnsiTheme="majorHAnsi" w:cs="Times New Roman"/>
          <w:b/>
          <w:i/>
          <w:color w:val="000000"/>
          <w:sz w:val="19"/>
          <w:lang w:eastAsia="en-AU"/>
        </w:rPr>
      </w:pPr>
    </w:p>
    <w:p w:rsidR="00C5403F" w:rsidRPr="00D21F75" w:rsidRDefault="007C27D5" w:rsidP="00EF1DC3">
      <w:pPr>
        <w:spacing w:before="240" w:after="240"/>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subject site is currently zoned RU1 Primary Production with a minimum lot size of 80ha by the Muswellbrook LEP</w:t>
      </w:r>
      <w:r w:rsidR="00D21F75">
        <w:rPr>
          <w:rFonts w:asciiTheme="majorHAnsi" w:eastAsia="Times New Roman" w:hAnsiTheme="majorHAnsi" w:cs="Times New Roman"/>
          <w:color w:val="000000"/>
          <w:sz w:val="22"/>
          <w:lang w:eastAsia="en-AU"/>
        </w:rPr>
        <w:t xml:space="preserve"> 2009</w:t>
      </w:r>
      <w:r w:rsidRPr="00D21F75">
        <w:rPr>
          <w:rFonts w:asciiTheme="majorHAnsi" w:eastAsia="Times New Roman" w:hAnsiTheme="majorHAnsi" w:cs="Times New Roman"/>
          <w:color w:val="000000"/>
          <w:sz w:val="22"/>
          <w:lang w:eastAsia="en-AU"/>
        </w:rPr>
        <w:t xml:space="preserve">. Subdivision for large lot residential purposes cannot be achieved without amending the LEP. </w:t>
      </w:r>
      <w:r w:rsidR="009757DA" w:rsidRPr="00D21F75">
        <w:rPr>
          <w:rFonts w:asciiTheme="majorHAnsi" w:eastAsia="Times New Roman" w:hAnsiTheme="majorHAnsi" w:cs="Times New Roman"/>
          <w:color w:val="000000"/>
          <w:sz w:val="22"/>
          <w:lang w:eastAsia="en-AU"/>
        </w:rPr>
        <w:t xml:space="preserve">The proposed </w:t>
      </w:r>
      <w:r w:rsidR="006C7B49">
        <w:rPr>
          <w:rFonts w:asciiTheme="majorHAnsi" w:eastAsia="Times New Roman" w:hAnsiTheme="majorHAnsi" w:cs="Times New Roman"/>
          <w:color w:val="000000"/>
          <w:sz w:val="22"/>
          <w:lang w:eastAsia="en-AU"/>
        </w:rPr>
        <w:t>Planning Proposal</w:t>
      </w:r>
      <w:r w:rsidR="009757DA" w:rsidRPr="00D21F75">
        <w:rPr>
          <w:rFonts w:asciiTheme="majorHAnsi" w:eastAsia="Times New Roman" w:hAnsiTheme="majorHAnsi" w:cs="Times New Roman"/>
          <w:color w:val="000000"/>
          <w:sz w:val="22"/>
          <w:lang w:eastAsia="en-AU"/>
        </w:rPr>
        <w:t xml:space="preserve"> is considered to be the best means of achieving the rezoning of </w:t>
      </w:r>
      <w:r w:rsidR="001124F6" w:rsidRPr="00D21F75">
        <w:rPr>
          <w:rFonts w:asciiTheme="majorHAnsi" w:eastAsia="Times New Roman" w:hAnsiTheme="majorHAnsi" w:cs="Times New Roman"/>
          <w:color w:val="000000"/>
          <w:sz w:val="22"/>
          <w:lang w:eastAsia="en-AU"/>
        </w:rPr>
        <w:t xml:space="preserve">Waebron </w:t>
      </w:r>
      <w:r w:rsidR="009757DA" w:rsidRPr="00D21F75">
        <w:rPr>
          <w:rFonts w:asciiTheme="majorHAnsi" w:eastAsia="Times New Roman" w:hAnsiTheme="majorHAnsi" w:cs="Times New Roman"/>
          <w:color w:val="000000"/>
          <w:sz w:val="22"/>
          <w:lang w:eastAsia="en-AU"/>
        </w:rPr>
        <w:t xml:space="preserve">for large lot residential purposes. </w:t>
      </w:r>
    </w:p>
    <w:p w:rsidR="00422DA0" w:rsidRDefault="00422DA0" w:rsidP="00C5403F">
      <w:pPr>
        <w:spacing w:before="240" w:after="240" w:line="280" w:lineRule="exact"/>
        <w:contextualSpacing/>
        <w:jc w:val="both"/>
        <w:rPr>
          <w:rFonts w:ascii="Trebuchet MS" w:eastAsia="Times New Roman" w:hAnsi="Trebuchet MS" w:cs="Times New Roman"/>
          <w:color w:val="000000"/>
          <w:sz w:val="19"/>
          <w:lang w:eastAsia="en-AU"/>
        </w:rPr>
      </w:pPr>
    </w:p>
    <w:p w:rsidR="009757DA" w:rsidRPr="00C5403F" w:rsidRDefault="009757DA" w:rsidP="00C5403F">
      <w:pPr>
        <w:spacing w:before="240" w:after="240" w:line="280" w:lineRule="exact"/>
        <w:contextualSpacing/>
        <w:jc w:val="both"/>
        <w:rPr>
          <w:rFonts w:ascii="Trebuchet MS" w:eastAsia="Times New Roman" w:hAnsi="Trebuchet MS" w:cs="Times New Roman"/>
          <w:color w:val="000000"/>
          <w:sz w:val="19"/>
          <w:lang w:eastAsia="en-AU"/>
        </w:rPr>
      </w:pPr>
    </w:p>
    <w:p w:rsidR="009757DA" w:rsidRPr="00422DA0" w:rsidRDefault="009757DA" w:rsidP="00422DA0">
      <w:pPr>
        <w:keepLines/>
        <w:spacing w:after="0"/>
        <w:jc w:val="both"/>
        <w:rPr>
          <w:rFonts w:ascii="Trebuchet MS" w:eastAsia="Times New Roman" w:hAnsi="Trebuchet MS" w:cs="Arial"/>
          <w:b/>
          <w:sz w:val="22"/>
          <w:szCs w:val="22"/>
          <w:lang w:eastAsia="en-AU"/>
        </w:rPr>
      </w:pPr>
      <w:r w:rsidRPr="00422DA0">
        <w:rPr>
          <w:rFonts w:ascii="Trebuchet MS" w:eastAsia="Times New Roman" w:hAnsi="Trebuchet MS" w:cs="Arial"/>
          <w:b/>
          <w:sz w:val="22"/>
          <w:szCs w:val="22"/>
          <w:lang w:eastAsia="en-AU"/>
        </w:rPr>
        <w:t>3.3.2</w:t>
      </w:r>
      <w:r w:rsidRPr="00422DA0">
        <w:rPr>
          <w:rFonts w:ascii="Trebuchet MS" w:eastAsia="Times New Roman" w:hAnsi="Trebuchet MS" w:cs="Arial"/>
          <w:b/>
          <w:sz w:val="22"/>
          <w:szCs w:val="22"/>
          <w:lang w:eastAsia="en-AU"/>
        </w:rPr>
        <w:tab/>
        <w:t>Sectio</w:t>
      </w:r>
      <w:bookmarkStart w:id="8" w:name="Sec_B"/>
      <w:bookmarkEnd w:id="8"/>
      <w:r w:rsidRPr="00422DA0">
        <w:rPr>
          <w:rFonts w:ascii="Trebuchet MS" w:eastAsia="Times New Roman" w:hAnsi="Trebuchet MS" w:cs="Arial"/>
          <w:b/>
          <w:sz w:val="22"/>
          <w:szCs w:val="22"/>
          <w:lang w:eastAsia="en-AU"/>
        </w:rPr>
        <w:t xml:space="preserve">n B </w:t>
      </w:r>
      <w:r w:rsidR="005941A9">
        <w:rPr>
          <w:rFonts w:ascii="Trebuchet MS" w:eastAsia="Times New Roman" w:hAnsi="Trebuchet MS" w:cs="Arial"/>
          <w:b/>
          <w:sz w:val="22"/>
          <w:szCs w:val="22"/>
          <w:lang w:eastAsia="en-AU"/>
        </w:rPr>
        <w:t>—</w:t>
      </w:r>
      <w:r w:rsidRPr="00422DA0">
        <w:rPr>
          <w:rFonts w:ascii="Trebuchet MS" w:eastAsia="Times New Roman" w:hAnsi="Trebuchet MS" w:cs="Arial"/>
          <w:b/>
          <w:sz w:val="22"/>
          <w:szCs w:val="22"/>
          <w:lang w:eastAsia="en-AU"/>
        </w:rPr>
        <w:t xml:space="preserve"> Relationship to strategic planning framework </w:t>
      </w:r>
    </w:p>
    <w:p w:rsidR="00422DA0" w:rsidRDefault="00422DA0" w:rsidP="00422DA0">
      <w:pPr>
        <w:spacing w:before="240" w:after="240" w:line="280" w:lineRule="exact"/>
        <w:contextualSpacing/>
        <w:jc w:val="both"/>
        <w:rPr>
          <w:rFonts w:ascii="Trebuchet MS" w:eastAsia="Times New Roman" w:hAnsi="Trebuchet MS" w:cs="Times New Roman"/>
          <w:b/>
          <w:i/>
          <w:color w:val="000000"/>
          <w:sz w:val="19"/>
          <w:lang w:eastAsia="en-AU"/>
        </w:rPr>
      </w:pPr>
    </w:p>
    <w:p w:rsidR="009757DA" w:rsidRPr="00D21F75" w:rsidRDefault="009757DA" w:rsidP="00422DA0">
      <w:pPr>
        <w:spacing w:before="240" w:after="240" w:line="280" w:lineRule="exact"/>
        <w:contextualSpacing/>
        <w:jc w:val="both"/>
        <w:rPr>
          <w:rFonts w:asciiTheme="majorHAnsi" w:eastAsia="Times New Roman" w:hAnsiTheme="majorHAnsi" w:cs="Times New Roman"/>
          <w:b/>
          <w:i/>
          <w:color w:val="000000"/>
          <w:sz w:val="23"/>
          <w:szCs w:val="23"/>
          <w:lang w:eastAsia="en-AU"/>
        </w:rPr>
      </w:pPr>
      <w:r w:rsidRPr="00D21F75">
        <w:rPr>
          <w:rFonts w:asciiTheme="majorHAnsi" w:eastAsia="Times New Roman" w:hAnsiTheme="majorHAnsi" w:cs="Times New Roman"/>
          <w:b/>
          <w:i/>
          <w:color w:val="000000"/>
          <w:sz w:val="23"/>
          <w:szCs w:val="23"/>
          <w:lang w:eastAsia="en-AU"/>
        </w:rPr>
        <w:t xml:space="preserve">Is the </w:t>
      </w:r>
      <w:r w:rsidR="006C7B49">
        <w:rPr>
          <w:rFonts w:asciiTheme="majorHAnsi" w:eastAsia="Times New Roman" w:hAnsiTheme="majorHAnsi" w:cs="Times New Roman"/>
          <w:b/>
          <w:i/>
          <w:color w:val="000000"/>
          <w:sz w:val="23"/>
          <w:szCs w:val="23"/>
          <w:lang w:eastAsia="en-AU"/>
        </w:rPr>
        <w:t>Planning Proposal</w:t>
      </w:r>
      <w:r w:rsidRPr="00D21F75">
        <w:rPr>
          <w:rFonts w:asciiTheme="majorHAnsi" w:eastAsia="Times New Roman" w:hAnsiTheme="majorHAnsi" w:cs="Times New Roman"/>
          <w:b/>
          <w:i/>
          <w:color w:val="000000"/>
          <w:sz w:val="23"/>
          <w:szCs w:val="23"/>
          <w:lang w:eastAsia="en-AU"/>
        </w:rPr>
        <w:t xml:space="preserve"> consistent with the objectives and actions contained within the applicable regional or sub regional strategy?</w:t>
      </w:r>
    </w:p>
    <w:p w:rsidR="00BD0A9A" w:rsidRDefault="00BD0A9A"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p>
    <w:p w:rsidR="00882B60" w:rsidRDefault="00F12A93" w:rsidP="00882B60">
      <w:pPr>
        <w:spacing w:before="240" w:after="240" w:line="280" w:lineRule="exact"/>
        <w:contextualSpacing/>
        <w:jc w:val="both"/>
        <w:rPr>
          <w:rFonts w:asciiTheme="majorHAnsi" w:eastAsia="Times New Roman" w:hAnsiTheme="majorHAnsi" w:cs="Times New Roman"/>
          <w:color w:val="000000"/>
          <w:sz w:val="22"/>
          <w:szCs w:val="22"/>
          <w:lang w:eastAsia="en-AU"/>
        </w:rPr>
      </w:pPr>
      <w:r w:rsidRPr="00E136CD">
        <w:rPr>
          <w:rFonts w:asciiTheme="majorHAnsi" w:eastAsia="Times New Roman" w:hAnsiTheme="majorHAnsi" w:cs="Times New Roman"/>
          <w:b/>
          <w:color w:val="000000"/>
          <w:sz w:val="22"/>
          <w:szCs w:val="22"/>
          <w:lang w:eastAsia="en-AU"/>
        </w:rPr>
        <w:t>Chapt</w:t>
      </w:r>
      <w:r w:rsidR="00E136CD" w:rsidRPr="00E136CD">
        <w:rPr>
          <w:rFonts w:asciiTheme="majorHAnsi" w:eastAsia="Times New Roman" w:hAnsiTheme="majorHAnsi" w:cs="Times New Roman"/>
          <w:b/>
          <w:color w:val="000000"/>
          <w:sz w:val="22"/>
          <w:szCs w:val="22"/>
          <w:lang w:eastAsia="en-AU"/>
        </w:rPr>
        <w:t>er 3</w:t>
      </w:r>
      <w:r w:rsidR="00E136CD">
        <w:rPr>
          <w:rFonts w:asciiTheme="majorHAnsi" w:eastAsia="Times New Roman" w:hAnsiTheme="majorHAnsi" w:cs="Times New Roman"/>
          <w:color w:val="000000"/>
          <w:sz w:val="22"/>
          <w:szCs w:val="22"/>
          <w:lang w:eastAsia="en-AU"/>
        </w:rPr>
        <w:t xml:space="preserve"> of the Upper Hunter SRLUP identifies </w:t>
      </w:r>
      <w:r>
        <w:rPr>
          <w:rFonts w:asciiTheme="majorHAnsi" w:eastAsia="Times New Roman" w:hAnsiTheme="majorHAnsi" w:cs="Times New Roman"/>
          <w:color w:val="000000"/>
          <w:sz w:val="22"/>
          <w:szCs w:val="22"/>
          <w:lang w:eastAsia="en-AU"/>
        </w:rPr>
        <w:t>t</w:t>
      </w:r>
      <w:r w:rsidR="00367AF7" w:rsidRPr="00367AF7">
        <w:rPr>
          <w:rFonts w:asciiTheme="majorHAnsi" w:eastAsia="Times New Roman" w:hAnsiTheme="majorHAnsi" w:cs="Times New Roman"/>
          <w:color w:val="000000"/>
          <w:sz w:val="22"/>
          <w:szCs w:val="22"/>
          <w:lang w:eastAsia="en-AU"/>
        </w:rPr>
        <w:t>he subject sit</w:t>
      </w:r>
      <w:r w:rsidR="00E136CD">
        <w:rPr>
          <w:rFonts w:asciiTheme="majorHAnsi" w:eastAsia="Times New Roman" w:hAnsiTheme="majorHAnsi" w:cs="Times New Roman"/>
          <w:color w:val="000000"/>
          <w:sz w:val="22"/>
          <w:szCs w:val="22"/>
          <w:lang w:eastAsia="en-AU"/>
        </w:rPr>
        <w:t>e as being</w:t>
      </w:r>
      <w:r w:rsidR="00367AF7" w:rsidRPr="00367AF7">
        <w:rPr>
          <w:rFonts w:asciiTheme="majorHAnsi" w:eastAsia="Times New Roman" w:hAnsiTheme="majorHAnsi" w:cs="Times New Roman"/>
          <w:color w:val="000000"/>
          <w:sz w:val="22"/>
          <w:szCs w:val="22"/>
          <w:lang w:eastAsia="en-AU"/>
        </w:rPr>
        <w:t xml:space="preserve"> mapped at the regional level as a Critical Industry Cluster for Equine and Viticulture.  </w:t>
      </w:r>
      <w:r w:rsidR="00463D6E">
        <w:rPr>
          <w:rFonts w:asciiTheme="majorHAnsi" w:eastAsia="Times New Roman" w:hAnsiTheme="majorHAnsi" w:cs="Times New Roman"/>
          <w:color w:val="000000"/>
          <w:sz w:val="22"/>
          <w:szCs w:val="22"/>
          <w:lang w:eastAsia="en-AU"/>
        </w:rPr>
        <w:t>It is noted that the mapping of strategic agricultural land indicates broadly where is occurs throughout the region</w:t>
      </w:r>
      <w:r>
        <w:rPr>
          <w:rFonts w:asciiTheme="majorHAnsi" w:eastAsia="Times New Roman" w:hAnsiTheme="majorHAnsi" w:cs="Times New Roman"/>
          <w:color w:val="000000"/>
          <w:sz w:val="22"/>
          <w:szCs w:val="22"/>
          <w:lang w:eastAsia="en-AU"/>
        </w:rPr>
        <w:t xml:space="preserve"> and that half of the Denman Village is mapped as containing CIC Equine and Viticulture</w:t>
      </w:r>
      <w:r w:rsidR="00463D6E">
        <w:rPr>
          <w:rFonts w:asciiTheme="majorHAnsi" w:eastAsia="Times New Roman" w:hAnsiTheme="majorHAnsi" w:cs="Times New Roman"/>
          <w:color w:val="000000"/>
          <w:sz w:val="22"/>
          <w:szCs w:val="22"/>
          <w:lang w:eastAsia="en-AU"/>
        </w:rPr>
        <w:t xml:space="preserve">.  The Upper Hunter SRLUP states that the mapping is at a regional scale and is not intended to be used for property level interpretations. </w:t>
      </w:r>
      <w:r w:rsidR="00882B60" w:rsidRPr="00D21F75">
        <w:rPr>
          <w:rFonts w:asciiTheme="majorHAnsi" w:eastAsia="Times New Roman" w:hAnsiTheme="majorHAnsi" w:cs="Times New Roman"/>
          <w:color w:val="000000"/>
          <w:sz w:val="22"/>
          <w:szCs w:val="22"/>
          <w:lang w:eastAsia="en-AU"/>
        </w:rPr>
        <w:t xml:space="preserve"> </w:t>
      </w:r>
      <w:r>
        <w:rPr>
          <w:rFonts w:asciiTheme="majorHAnsi" w:eastAsia="Times New Roman" w:hAnsiTheme="majorHAnsi" w:cs="Times New Roman"/>
          <w:color w:val="000000"/>
          <w:sz w:val="22"/>
          <w:szCs w:val="22"/>
          <w:lang w:eastAsia="en-AU"/>
        </w:rPr>
        <w:t xml:space="preserve">The subject site has no history of equine use and although it adjoins the Two Rivers vineyard, the land itself does not form part of the agricultural land </w:t>
      </w:r>
      <w:r w:rsidR="00E136CD">
        <w:rPr>
          <w:rFonts w:asciiTheme="majorHAnsi" w:eastAsia="Times New Roman" w:hAnsiTheme="majorHAnsi" w:cs="Times New Roman"/>
          <w:color w:val="000000"/>
          <w:sz w:val="22"/>
          <w:szCs w:val="22"/>
          <w:lang w:eastAsia="en-AU"/>
        </w:rPr>
        <w:t>used for grape production, as detailed</w:t>
      </w:r>
      <w:r>
        <w:rPr>
          <w:rFonts w:asciiTheme="majorHAnsi" w:eastAsia="Times New Roman" w:hAnsiTheme="majorHAnsi" w:cs="Times New Roman"/>
          <w:color w:val="000000"/>
          <w:sz w:val="22"/>
          <w:szCs w:val="22"/>
          <w:lang w:eastAsia="en-AU"/>
        </w:rPr>
        <w:t xml:space="preserve"> </w:t>
      </w:r>
      <w:r w:rsidR="00E136CD">
        <w:rPr>
          <w:rFonts w:asciiTheme="majorHAnsi" w:eastAsia="Times New Roman" w:hAnsiTheme="majorHAnsi" w:cs="Times New Roman"/>
          <w:color w:val="000000"/>
          <w:sz w:val="22"/>
          <w:szCs w:val="22"/>
          <w:lang w:eastAsia="en-AU"/>
        </w:rPr>
        <w:t xml:space="preserve">in Section 2 of this </w:t>
      </w:r>
      <w:r>
        <w:rPr>
          <w:rFonts w:asciiTheme="majorHAnsi" w:eastAsia="Times New Roman" w:hAnsiTheme="majorHAnsi" w:cs="Times New Roman"/>
          <w:color w:val="000000"/>
          <w:sz w:val="22"/>
          <w:szCs w:val="22"/>
          <w:lang w:eastAsia="en-AU"/>
        </w:rPr>
        <w:t xml:space="preserve">report. </w:t>
      </w:r>
    </w:p>
    <w:p w:rsidR="00882B60" w:rsidRDefault="00882B60" w:rsidP="00882B60">
      <w:pPr>
        <w:spacing w:before="240" w:after="240" w:line="280" w:lineRule="exact"/>
        <w:contextualSpacing/>
        <w:jc w:val="both"/>
        <w:rPr>
          <w:rFonts w:asciiTheme="majorHAnsi" w:eastAsia="Times New Roman" w:hAnsiTheme="majorHAnsi" w:cs="Times New Roman"/>
          <w:color w:val="000000"/>
          <w:sz w:val="22"/>
          <w:szCs w:val="22"/>
          <w:lang w:eastAsia="en-AU"/>
        </w:rPr>
      </w:pPr>
    </w:p>
    <w:p w:rsidR="00BD0A9A" w:rsidRPr="00AA19DD" w:rsidRDefault="00F12A93" w:rsidP="00BD0A9A">
      <w:pPr>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Chapter</w:t>
      </w:r>
      <w:r w:rsidR="00450F27">
        <w:rPr>
          <w:rFonts w:asciiTheme="majorHAnsi" w:eastAsia="Times New Roman" w:hAnsiTheme="majorHAnsi" w:cs="Times New Roman"/>
          <w:color w:val="000000"/>
          <w:sz w:val="22"/>
          <w:szCs w:val="22"/>
          <w:lang w:eastAsia="en-AU"/>
        </w:rPr>
        <w:t xml:space="preserve"> 3 </w:t>
      </w:r>
      <w:r w:rsidR="00367AF7" w:rsidRPr="00367AF7">
        <w:rPr>
          <w:rFonts w:asciiTheme="majorHAnsi" w:eastAsia="Times New Roman" w:hAnsiTheme="majorHAnsi" w:cs="Times New Roman"/>
          <w:color w:val="000000"/>
          <w:sz w:val="22"/>
          <w:szCs w:val="22"/>
          <w:lang w:eastAsia="en-AU"/>
        </w:rPr>
        <w:t>Table 1 of Upper Hunter SRLUP (Page 21) provides that critical industry clusters must meet the following criteria:</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There is a concentration of enterprises that provides clear development and marketing advantages and is based on an agricultural product;</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The productive industry are interrelated;</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It consists of a unique combination of factors such as location, infrastructure, heritage and natural resources;</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It is of national and/or international importance;</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 xml:space="preserve">It is an iconic industry that contributes to the region’s identity; and </w:t>
      </w:r>
    </w:p>
    <w:p w:rsidR="00BD0A9A" w:rsidRPr="005159C5" w:rsidRDefault="00367AF7" w:rsidP="00BD0A9A">
      <w:pPr>
        <w:numPr>
          <w:ilvl w:val="0"/>
          <w:numId w:val="34"/>
        </w:numPr>
        <w:spacing w:after="0"/>
        <w:jc w:val="both"/>
        <w:rPr>
          <w:rFonts w:asciiTheme="majorHAnsi" w:eastAsia="Times New Roman" w:hAnsiTheme="majorHAnsi" w:cs="Times New Roman"/>
          <w:i/>
          <w:color w:val="000000"/>
          <w:sz w:val="22"/>
          <w:szCs w:val="22"/>
          <w:lang w:eastAsia="en-AU"/>
        </w:rPr>
      </w:pPr>
      <w:proofErr w:type="gramStart"/>
      <w:r w:rsidRPr="00367AF7">
        <w:rPr>
          <w:rFonts w:asciiTheme="majorHAnsi" w:eastAsia="Times New Roman" w:hAnsiTheme="majorHAnsi" w:cs="Times New Roman"/>
          <w:i/>
          <w:color w:val="000000"/>
          <w:sz w:val="22"/>
          <w:szCs w:val="22"/>
          <w:lang w:eastAsia="en-AU"/>
        </w:rPr>
        <w:t>it</w:t>
      </w:r>
      <w:proofErr w:type="gramEnd"/>
      <w:r w:rsidRPr="00367AF7">
        <w:rPr>
          <w:rFonts w:asciiTheme="majorHAnsi" w:eastAsia="Times New Roman" w:hAnsiTheme="majorHAnsi" w:cs="Times New Roman"/>
          <w:i/>
          <w:color w:val="000000"/>
          <w:sz w:val="22"/>
          <w:szCs w:val="22"/>
          <w:lang w:eastAsia="en-AU"/>
        </w:rPr>
        <w:t xml:space="preserve"> is potentially substantially impacted by coal seam gas or mining proposals.</w:t>
      </w:r>
    </w:p>
    <w:p w:rsidR="00BD0A9A" w:rsidRPr="00AA19DD" w:rsidRDefault="00367AF7" w:rsidP="00EF1DC3">
      <w:pPr>
        <w:spacing w:before="240"/>
        <w:jc w:val="both"/>
        <w:rPr>
          <w:rFonts w:asciiTheme="majorHAnsi" w:eastAsia="Times New Roman" w:hAnsiTheme="majorHAnsi" w:cs="Times New Roman"/>
          <w:color w:val="000000"/>
          <w:sz w:val="22"/>
          <w:szCs w:val="22"/>
          <w:lang w:eastAsia="en-AU"/>
        </w:rPr>
      </w:pPr>
      <w:r w:rsidRPr="00367AF7">
        <w:rPr>
          <w:rFonts w:asciiTheme="majorHAnsi" w:eastAsia="Times New Roman" w:hAnsiTheme="majorHAnsi" w:cs="Times New Roman"/>
          <w:color w:val="000000"/>
          <w:sz w:val="22"/>
          <w:szCs w:val="22"/>
          <w:lang w:eastAsia="en-AU"/>
        </w:rPr>
        <w:t xml:space="preserve">In addition to </w:t>
      </w:r>
      <w:proofErr w:type="gramStart"/>
      <w:r w:rsidRPr="00367AF7">
        <w:rPr>
          <w:rFonts w:asciiTheme="majorHAnsi" w:eastAsia="Times New Roman" w:hAnsiTheme="majorHAnsi" w:cs="Times New Roman"/>
          <w:color w:val="000000"/>
          <w:sz w:val="22"/>
          <w:szCs w:val="22"/>
          <w:lang w:eastAsia="en-AU"/>
        </w:rPr>
        <w:t>this criteria</w:t>
      </w:r>
      <w:proofErr w:type="gramEnd"/>
      <w:r w:rsidRPr="00367AF7">
        <w:rPr>
          <w:rFonts w:asciiTheme="majorHAnsi" w:eastAsia="Times New Roman" w:hAnsiTheme="majorHAnsi" w:cs="Times New Roman"/>
          <w:color w:val="000000"/>
          <w:sz w:val="22"/>
          <w:szCs w:val="22"/>
          <w:lang w:eastAsia="en-AU"/>
        </w:rPr>
        <w:t xml:space="preserve"> the Upper Hunter SRLUP (page 22) states:</w:t>
      </w:r>
    </w:p>
    <w:p w:rsidR="00BD0A9A" w:rsidRPr="00AA19DD" w:rsidRDefault="00367AF7" w:rsidP="00BD0A9A">
      <w:pPr>
        <w:jc w:val="both"/>
        <w:rPr>
          <w:rFonts w:asciiTheme="majorHAnsi" w:eastAsia="Times New Roman" w:hAnsiTheme="majorHAnsi" w:cs="Times New Roman"/>
          <w:color w:val="000000"/>
          <w:sz w:val="22"/>
          <w:szCs w:val="22"/>
          <w:lang w:eastAsia="en-AU"/>
        </w:rPr>
      </w:pPr>
      <w:r w:rsidRPr="00367AF7">
        <w:rPr>
          <w:rFonts w:asciiTheme="majorHAnsi" w:eastAsia="Times New Roman" w:hAnsiTheme="majorHAnsi" w:cs="Times New Roman"/>
          <w:color w:val="000000"/>
          <w:sz w:val="22"/>
          <w:szCs w:val="22"/>
          <w:lang w:eastAsia="en-AU"/>
        </w:rPr>
        <w:t>‘</w:t>
      </w:r>
      <w:r w:rsidRPr="00367AF7">
        <w:rPr>
          <w:rFonts w:asciiTheme="majorHAnsi" w:eastAsia="Times New Roman" w:hAnsiTheme="majorHAnsi" w:cs="Times New Roman"/>
          <w:i/>
          <w:color w:val="000000"/>
          <w:sz w:val="22"/>
          <w:szCs w:val="22"/>
          <w:lang w:eastAsia="en-AU"/>
        </w:rPr>
        <w:t>The critical industry cluster (CIC) criteria included in Table 1 ensures socio-economic values are appropriately considered in the strategic agricultural land mapping.  A CIC is a localised concentration of interrelated productive industries based on an agricultural product that provides significant employment opportunities and contributes to the identity of the region.  The cluster also needs to be potentially substantially impacted by coal seams gas or mining proposals.  Based on this definition an equine cluster around Scone, Bylong and Denman and a viticulture cluster around Broke, Pokolbin and Denman have been identified as strategic agricultural lands’</w:t>
      </w:r>
    </w:p>
    <w:p w:rsidR="00471310" w:rsidRDefault="00367AF7" w:rsidP="00BD0A9A">
      <w:pPr>
        <w:jc w:val="both"/>
        <w:rPr>
          <w:rFonts w:asciiTheme="majorHAnsi" w:eastAsia="Times New Roman" w:hAnsiTheme="majorHAnsi" w:cs="Times New Roman"/>
          <w:color w:val="000000"/>
          <w:sz w:val="22"/>
          <w:szCs w:val="22"/>
          <w:lang w:eastAsia="en-AU"/>
        </w:rPr>
      </w:pPr>
      <w:r w:rsidRPr="00367AF7">
        <w:rPr>
          <w:rFonts w:asciiTheme="majorHAnsi" w:eastAsia="Times New Roman" w:hAnsiTheme="majorHAnsi" w:cs="Times New Roman"/>
          <w:color w:val="000000"/>
          <w:sz w:val="22"/>
          <w:szCs w:val="22"/>
          <w:lang w:eastAsia="en-AU"/>
        </w:rPr>
        <w:lastRenderedPageBreak/>
        <w:t xml:space="preserve">It is </w:t>
      </w:r>
      <w:r w:rsidR="00E136CD">
        <w:rPr>
          <w:rFonts w:asciiTheme="majorHAnsi" w:eastAsia="Times New Roman" w:hAnsiTheme="majorHAnsi" w:cs="Times New Roman"/>
          <w:color w:val="000000"/>
          <w:sz w:val="22"/>
          <w:szCs w:val="22"/>
          <w:lang w:eastAsia="en-AU"/>
        </w:rPr>
        <w:t xml:space="preserve">apparent that the objectives and actions of </w:t>
      </w:r>
      <w:r w:rsidRPr="00367AF7">
        <w:rPr>
          <w:rFonts w:asciiTheme="majorHAnsi" w:eastAsia="Times New Roman" w:hAnsiTheme="majorHAnsi" w:cs="Times New Roman"/>
          <w:color w:val="000000"/>
          <w:sz w:val="22"/>
          <w:szCs w:val="22"/>
          <w:lang w:eastAsia="en-AU"/>
        </w:rPr>
        <w:t xml:space="preserve">Chapter 3 of </w:t>
      </w:r>
      <w:r w:rsidR="00E136CD">
        <w:rPr>
          <w:rFonts w:asciiTheme="majorHAnsi" w:eastAsia="Times New Roman" w:hAnsiTheme="majorHAnsi" w:cs="Times New Roman"/>
          <w:color w:val="000000"/>
          <w:sz w:val="22"/>
          <w:szCs w:val="22"/>
          <w:lang w:eastAsia="en-AU"/>
        </w:rPr>
        <w:t>the Upper Hunter SRLUP seek to balance</w:t>
      </w:r>
      <w:r w:rsidRPr="00367AF7">
        <w:rPr>
          <w:rFonts w:asciiTheme="majorHAnsi" w:eastAsia="Times New Roman" w:hAnsiTheme="majorHAnsi" w:cs="Times New Roman"/>
          <w:color w:val="000000"/>
          <w:sz w:val="22"/>
          <w:szCs w:val="22"/>
          <w:lang w:eastAsia="en-AU"/>
        </w:rPr>
        <w:t xml:space="preserve"> the conflicting demands of the agriculture and </w:t>
      </w:r>
      <w:r w:rsidR="00E136CD">
        <w:rPr>
          <w:rFonts w:asciiTheme="majorHAnsi" w:eastAsia="Times New Roman" w:hAnsiTheme="majorHAnsi" w:cs="Times New Roman"/>
          <w:color w:val="000000"/>
          <w:sz w:val="22"/>
          <w:szCs w:val="22"/>
          <w:lang w:eastAsia="en-AU"/>
        </w:rPr>
        <w:t>resource industries and ensure</w:t>
      </w:r>
      <w:r w:rsidRPr="00367AF7">
        <w:rPr>
          <w:rFonts w:asciiTheme="majorHAnsi" w:eastAsia="Times New Roman" w:hAnsiTheme="majorHAnsi" w:cs="Times New Roman"/>
          <w:color w:val="000000"/>
          <w:sz w:val="22"/>
          <w:szCs w:val="22"/>
          <w:lang w:eastAsia="en-AU"/>
        </w:rPr>
        <w:t xml:space="preserve"> that strategic agriculture land and Critical Industry Clusters are not impacted by intrusive mining or coal seam gas developments.  </w:t>
      </w:r>
      <w:r w:rsidR="00471310">
        <w:rPr>
          <w:rFonts w:asciiTheme="majorHAnsi" w:eastAsia="Times New Roman" w:hAnsiTheme="majorHAnsi" w:cs="Times New Roman"/>
          <w:color w:val="000000"/>
          <w:sz w:val="22"/>
          <w:szCs w:val="22"/>
          <w:lang w:eastAsia="en-AU"/>
        </w:rPr>
        <w:t>The objectives of Chapter 3 are:</w:t>
      </w:r>
    </w:p>
    <w:p w:rsidR="00D81283" w:rsidRDefault="00367AF7">
      <w:pPr>
        <w:pStyle w:val="ListParagraph"/>
        <w:numPr>
          <w:ilvl w:val="0"/>
          <w:numId w:val="37"/>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protection of strategic agricultural land and the water resources it relies on;</w:t>
      </w:r>
    </w:p>
    <w:p w:rsidR="00D81283" w:rsidRDefault="00367AF7">
      <w:pPr>
        <w:pStyle w:val="ListParagraph"/>
        <w:numPr>
          <w:ilvl w:val="0"/>
          <w:numId w:val="37"/>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security and clarity for agriculture and mining and coal seam gas industries</w:t>
      </w:r>
    </w:p>
    <w:p w:rsidR="00D81283" w:rsidRDefault="00367AF7">
      <w:pPr>
        <w:pStyle w:val="ListParagraph"/>
        <w:numPr>
          <w:ilvl w:val="0"/>
          <w:numId w:val="37"/>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a balanced use of land by com</w:t>
      </w:r>
      <w:r w:rsidR="00471310">
        <w:rPr>
          <w:rFonts w:asciiTheme="majorHAnsi" w:eastAsia="Times New Roman" w:hAnsiTheme="majorHAnsi" w:cs="Times New Roman"/>
          <w:i/>
          <w:color w:val="000000"/>
          <w:sz w:val="22"/>
          <w:szCs w:val="22"/>
          <w:lang w:eastAsia="en-AU"/>
        </w:rPr>
        <w:t>p</w:t>
      </w:r>
      <w:r w:rsidRPr="00367AF7">
        <w:rPr>
          <w:rFonts w:asciiTheme="majorHAnsi" w:eastAsia="Times New Roman" w:hAnsiTheme="majorHAnsi" w:cs="Times New Roman"/>
          <w:i/>
          <w:color w:val="000000"/>
          <w:sz w:val="22"/>
          <w:szCs w:val="22"/>
          <w:lang w:eastAsia="en-AU"/>
        </w:rPr>
        <w:t>eting industries</w:t>
      </w:r>
    </w:p>
    <w:p w:rsidR="00D81283" w:rsidRDefault="00367AF7">
      <w:pPr>
        <w:pStyle w:val="ListParagraph"/>
        <w:numPr>
          <w:ilvl w:val="0"/>
          <w:numId w:val="37"/>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Provide enhance future opportunities for sustainable mining and agricultural industries</w:t>
      </w:r>
    </w:p>
    <w:p w:rsidR="00471310" w:rsidRDefault="00367AF7" w:rsidP="00BD0A9A">
      <w:pPr>
        <w:jc w:val="both"/>
        <w:rPr>
          <w:rFonts w:asciiTheme="majorHAnsi" w:eastAsia="Times New Roman" w:hAnsiTheme="majorHAnsi" w:cs="Times New Roman"/>
          <w:color w:val="000000"/>
          <w:sz w:val="22"/>
          <w:szCs w:val="22"/>
          <w:lang w:eastAsia="en-AU"/>
        </w:rPr>
      </w:pPr>
      <w:r w:rsidRPr="00367AF7">
        <w:rPr>
          <w:rFonts w:asciiTheme="majorHAnsi" w:eastAsia="Times New Roman" w:hAnsiTheme="majorHAnsi" w:cs="Times New Roman"/>
          <w:color w:val="000000"/>
          <w:sz w:val="22"/>
          <w:szCs w:val="22"/>
          <w:lang w:eastAsia="en-AU"/>
        </w:rPr>
        <w:t xml:space="preserve">The </w:t>
      </w:r>
      <w:r w:rsidR="006C7B49">
        <w:rPr>
          <w:rFonts w:asciiTheme="majorHAnsi" w:eastAsia="Times New Roman" w:hAnsiTheme="majorHAnsi" w:cs="Times New Roman"/>
          <w:color w:val="000000"/>
          <w:sz w:val="22"/>
          <w:szCs w:val="22"/>
          <w:lang w:eastAsia="en-AU"/>
        </w:rPr>
        <w:t>Planning Proposal</w:t>
      </w:r>
      <w:r w:rsidRPr="00367AF7">
        <w:rPr>
          <w:rFonts w:asciiTheme="majorHAnsi" w:eastAsia="Times New Roman" w:hAnsiTheme="majorHAnsi" w:cs="Times New Roman"/>
          <w:color w:val="000000"/>
          <w:sz w:val="22"/>
          <w:szCs w:val="22"/>
          <w:lang w:eastAsia="en-AU"/>
        </w:rPr>
        <w:t xml:space="preserve"> is not inconsistent with </w:t>
      </w:r>
      <w:r w:rsidR="00471310">
        <w:rPr>
          <w:rFonts w:asciiTheme="majorHAnsi" w:eastAsia="Times New Roman" w:hAnsiTheme="majorHAnsi" w:cs="Times New Roman"/>
          <w:color w:val="000000"/>
          <w:sz w:val="22"/>
          <w:szCs w:val="22"/>
          <w:lang w:eastAsia="en-AU"/>
        </w:rPr>
        <w:t xml:space="preserve">the Chapter 3 objectives as the proposed rezoning of the site for large lot residential purposes does not affect prime agricultural land and the proposed use can be developed without conflict to the neighbouring Two Rivers vineyard and without impacting on the future of the adjoining CIC Viticulture land.   Consideration has also been given to the Actions under Chapter 3 of </w:t>
      </w:r>
      <w:r w:rsidR="00471310" w:rsidRPr="00BF79A7">
        <w:rPr>
          <w:rFonts w:asciiTheme="majorHAnsi" w:eastAsia="Times New Roman" w:hAnsiTheme="majorHAnsi" w:cs="Times New Roman"/>
          <w:color w:val="000000"/>
          <w:sz w:val="22"/>
          <w:szCs w:val="22"/>
          <w:lang w:eastAsia="en-AU"/>
        </w:rPr>
        <w:t xml:space="preserve">Upper Hunter SRLUP </w:t>
      </w:r>
      <w:r w:rsidR="00471310">
        <w:rPr>
          <w:rFonts w:asciiTheme="majorHAnsi" w:eastAsia="Times New Roman" w:hAnsiTheme="majorHAnsi" w:cs="Times New Roman"/>
          <w:color w:val="000000"/>
          <w:sz w:val="22"/>
          <w:szCs w:val="22"/>
          <w:lang w:eastAsia="en-AU"/>
        </w:rPr>
        <w:t xml:space="preserve">and it is submitted that the </w:t>
      </w:r>
      <w:r w:rsidR="006C7B49">
        <w:rPr>
          <w:rFonts w:asciiTheme="majorHAnsi" w:eastAsia="Times New Roman" w:hAnsiTheme="majorHAnsi" w:cs="Times New Roman"/>
          <w:color w:val="000000"/>
          <w:sz w:val="22"/>
          <w:szCs w:val="22"/>
          <w:lang w:eastAsia="en-AU"/>
        </w:rPr>
        <w:t>Planning Proposal</w:t>
      </w:r>
      <w:r w:rsidR="00471310">
        <w:rPr>
          <w:rFonts w:asciiTheme="majorHAnsi" w:eastAsia="Times New Roman" w:hAnsiTheme="majorHAnsi" w:cs="Times New Roman"/>
          <w:color w:val="000000"/>
          <w:sz w:val="22"/>
          <w:szCs w:val="22"/>
          <w:lang w:eastAsia="en-AU"/>
        </w:rPr>
        <w:t xml:space="preserve"> is not inconsistent with Action </w:t>
      </w:r>
      <w:r w:rsidR="00CA65AC">
        <w:rPr>
          <w:rFonts w:asciiTheme="majorHAnsi" w:eastAsia="Times New Roman" w:hAnsiTheme="majorHAnsi" w:cs="Times New Roman"/>
          <w:color w:val="000000"/>
          <w:sz w:val="22"/>
          <w:szCs w:val="22"/>
          <w:lang w:eastAsia="en-AU"/>
        </w:rPr>
        <w:t>3.3,</w:t>
      </w:r>
      <w:r w:rsidR="00E136CD">
        <w:rPr>
          <w:rFonts w:asciiTheme="majorHAnsi" w:eastAsia="Times New Roman" w:hAnsiTheme="majorHAnsi" w:cs="Times New Roman"/>
          <w:color w:val="000000"/>
          <w:sz w:val="22"/>
          <w:szCs w:val="22"/>
          <w:lang w:eastAsia="en-AU"/>
        </w:rPr>
        <w:t xml:space="preserve"> </w:t>
      </w:r>
      <w:r w:rsidR="00E136CD" w:rsidRPr="00367AF7">
        <w:rPr>
          <w:rFonts w:asciiTheme="majorHAnsi" w:eastAsia="Times New Roman" w:hAnsiTheme="majorHAnsi" w:cs="Times New Roman"/>
          <w:color w:val="000000"/>
          <w:sz w:val="22"/>
          <w:szCs w:val="22"/>
          <w:lang w:eastAsia="en-AU"/>
        </w:rPr>
        <w:t>as</w:t>
      </w:r>
      <w:r w:rsidRPr="00367AF7">
        <w:rPr>
          <w:rFonts w:asciiTheme="majorHAnsi" w:eastAsia="Times New Roman" w:hAnsiTheme="majorHAnsi" w:cs="Times New Roman"/>
          <w:color w:val="000000"/>
          <w:sz w:val="22"/>
          <w:szCs w:val="22"/>
          <w:lang w:eastAsia="en-AU"/>
        </w:rPr>
        <w:t xml:space="preserve"> the rezoning of rural land for large lot residential housing purposes does not threaten strategic agricultural land or the mapped Critical Industry Cluster of the Viticulture or Equine industries. </w:t>
      </w:r>
    </w:p>
    <w:p w:rsidR="00F12A93" w:rsidRDefault="00BF2EA7" w:rsidP="00BF2EA7">
      <w:pPr>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T</w:t>
      </w:r>
      <w:r w:rsidRPr="00056B6E">
        <w:rPr>
          <w:rFonts w:asciiTheme="majorHAnsi" w:eastAsia="Times New Roman" w:hAnsiTheme="majorHAnsi" w:cs="Times New Roman"/>
          <w:color w:val="000000"/>
          <w:sz w:val="22"/>
          <w:szCs w:val="22"/>
          <w:lang w:eastAsia="en-AU"/>
        </w:rPr>
        <w:t>he broader themes for land use compatibility and the sites agricultura</w:t>
      </w:r>
      <w:r>
        <w:rPr>
          <w:rFonts w:asciiTheme="majorHAnsi" w:eastAsia="Times New Roman" w:hAnsiTheme="majorHAnsi" w:cs="Times New Roman"/>
          <w:color w:val="000000"/>
          <w:sz w:val="22"/>
          <w:szCs w:val="22"/>
          <w:lang w:eastAsia="en-AU"/>
        </w:rPr>
        <w:t xml:space="preserve">l capability identified by DP&amp;E have </w:t>
      </w:r>
      <w:r w:rsidR="00E136CD">
        <w:rPr>
          <w:rFonts w:asciiTheme="majorHAnsi" w:eastAsia="Times New Roman" w:hAnsiTheme="majorHAnsi" w:cs="Times New Roman"/>
          <w:color w:val="000000"/>
          <w:sz w:val="22"/>
          <w:szCs w:val="22"/>
          <w:lang w:eastAsia="en-AU"/>
        </w:rPr>
        <w:t xml:space="preserve">also </w:t>
      </w:r>
      <w:r>
        <w:rPr>
          <w:rFonts w:asciiTheme="majorHAnsi" w:eastAsia="Times New Roman" w:hAnsiTheme="majorHAnsi" w:cs="Times New Roman"/>
          <w:color w:val="000000"/>
          <w:sz w:val="22"/>
          <w:szCs w:val="22"/>
          <w:lang w:eastAsia="en-AU"/>
        </w:rPr>
        <w:t xml:space="preserve">been considered </w:t>
      </w:r>
      <w:r w:rsidRPr="00056B6E">
        <w:rPr>
          <w:rFonts w:asciiTheme="majorHAnsi" w:eastAsia="Times New Roman" w:hAnsiTheme="majorHAnsi" w:cs="Times New Roman"/>
          <w:color w:val="000000"/>
          <w:sz w:val="22"/>
          <w:szCs w:val="22"/>
          <w:lang w:eastAsia="en-AU"/>
        </w:rPr>
        <w:t xml:space="preserve">and </w:t>
      </w:r>
      <w:r>
        <w:rPr>
          <w:rFonts w:asciiTheme="majorHAnsi" w:eastAsia="Times New Roman" w:hAnsiTheme="majorHAnsi" w:cs="Times New Roman"/>
          <w:color w:val="000000"/>
          <w:sz w:val="22"/>
          <w:szCs w:val="22"/>
          <w:lang w:eastAsia="en-AU"/>
        </w:rPr>
        <w:t xml:space="preserve">it is </w:t>
      </w:r>
      <w:r w:rsidRPr="00056B6E">
        <w:rPr>
          <w:rFonts w:asciiTheme="majorHAnsi" w:eastAsia="Times New Roman" w:hAnsiTheme="majorHAnsi" w:cs="Times New Roman"/>
          <w:color w:val="000000"/>
          <w:sz w:val="22"/>
          <w:szCs w:val="22"/>
          <w:lang w:eastAsia="en-AU"/>
        </w:rPr>
        <w:t>note</w:t>
      </w:r>
      <w:r>
        <w:rPr>
          <w:rFonts w:asciiTheme="majorHAnsi" w:eastAsia="Times New Roman" w:hAnsiTheme="majorHAnsi" w:cs="Times New Roman"/>
          <w:color w:val="000000"/>
          <w:sz w:val="22"/>
          <w:szCs w:val="22"/>
          <w:lang w:eastAsia="en-AU"/>
        </w:rPr>
        <w:t>d</w:t>
      </w:r>
      <w:r w:rsidRPr="00056B6E">
        <w:rPr>
          <w:rFonts w:asciiTheme="majorHAnsi" w:eastAsia="Times New Roman" w:hAnsiTheme="majorHAnsi" w:cs="Times New Roman"/>
          <w:color w:val="000000"/>
          <w:sz w:val="22"/>
          <w:szCs w:val="22"/>
          <w:lang w:eastAsia="en-AU"/>
        </w:rPr>
        <w:t xml:space="preserve"> that the owner of the land and proponent of this </w:t>
      </w:r>
      <w:r w:rsidR="006C7B49">
        <w:rPr>
          <w:rFonts w:asciiTheme="majorHAnsi" w:eastAsia="Times New Roman" w:hAnsiTheme="majorHAnsi" w:cs="Times New Roman"/>
          <w:color w:val="000000"/>
          <w:sz w:val="22"/>
          <w:szCs w:val="22"/>
          <w:lang w:eastAsia="en-AU"/>
        </w:rPr>
        <w:t>Planning Proposal</w:t>
      </w:r>
      <w:r w:rsidRPr="00056B6E">
        <w:rPr>
          <w:rFonts w:asciiTheme="majorHAnsi" w:eastAsia="Times New Roman" w:hAnsiTheme="majorHAnsi" w:cs="Times New Roman"/>
          <w:color w:val="000000"/>
          <w:sz w:val="22"/>
          <w:szCs w:val="22"/>
          <w:lang w:eastAsia="en-AU"/>
        </w:rPr>
        <w:t xml:space="preserve"> also owns and runs the adjoining Two Rivers Vineyard.   </w:t>
      </w:r>
      <w:r>
        <w:rPr>
          <w:rFonts w:asciiTheme="majorHAnsi" w:eastAsia="Times New Roman" w:hAnsiTheme="majorHAnsi" w:cs="Times New Roman"/>
          <w:color w:val="000000"/>
          <w:sz w:val="22"/>
          <w:szCs w:val="22"/>
          <w:lang w:eastAsia="en-AU"/>
        </w:rPr>
        <w:t xml:space="preserve">As discussed </w:t>
      </w:r>
      <w:r w:rsidR="00E136CD">
        <w:rPr>
          <w:rFonts w:asciiTheme="majorHAnsi" w:eastAsia="Times New Roman" w:hAnsiTheme="majorHAnsi" w:cs="Times New Roman"/>
          <w:color w:val="000000"/>
          <w:sz w:val="22"/>
          <w:szCs w:val="22"/>
          <w:lang w:eastAsia="en-AU"/>
        </w:rPr>
        <w:t>in Section 2</w:t>
      </w:r>
      <w:r>
        <w:rPr>
          <w:rFonts w:asciiTheme="majorHAnsi" w:eastAsia="Times New Roman" w:hAnsiTheme="majorHAnsi" w:cs="Times New Roman"/>
          <w:color w:val="000000"/>
          <w:sz w:val="22"/>
          <w:szCs w:val="22"/>
          <w:lang w:eastAsia="en-AU"/>
        </w:rPr>
        <w:t xml:space="preserve"> </w:t>
      </w:r>
      <w:r w:rsidRPr="00056B6E">
        <w:rPr>
          <w:rFonts w:asciiTheme="majorHAnsi" w:eastAsia="Times New Roman" w:hAnsiTheme="majorHAnsi" w:cs="Times New Roman"/>
          <w:color w:val="000000"/>
          <w:sz w:val="22"/>
          <w:szCs w:val="22"/>
          <w:lang w:eastAsia="en-AU"/>
        </w:rPr>
        <w:t xml:space="preserve">the land the subject of the application </w:t>
      </w:r>
      <w:r w:rsidR="00CF2A0A">
        <w:rPr>
          <w:rFonts w:asciiTheme="majorHAnsi" w:eastAsia="Times New Roman" w:hAnsiTheme="majorHAnsi" w:cs="Times New Roman"/>
          <w:color w:val="000000"/>
          <w:sz w:val="22"/>
          <w:szCs w:val="22"/>
          <w:lang w:eastAsia="en-AU"/>
        </w:rPr>
        <w:t xml:space="preserve">has not historically been used </w:t>
      </w:r>
      <w:r w:rsidRPr="00056B6E">
        <w:rPr>
          <w:rFonts w:asciiTheme="majorHAnsi" w:eastAsia="Times New Roman" w:hAnsiTheme="majorHAnsi" w:cs="Times New Roman"/>
          <w:color w:val="000000"/>
          <w:sz w:val="22"/>
          <w:szCs w:val="22"/>
          <w:lang w:eastAsia="en-AU"/>
        </w:rPr>
        <w:t>for commercial grape growing</w:t>
      </w:r>
      <w:r w:rsidR="00882B60">
        <w:rPr>
          <w:rFonts w:asciiTheme="majorHAnsi" w:eastAsia="Times New Roman" w:hAnsiTheme="majorHAnsi" w:cs="Times New Roman"/>
          <w:color w:val="000000"/>
          <w:sz w:val="22"/>
          <w:szCs w:val="22"/>
          <w:lang w:eastAsia="en-AU"/>
        </w:rPr>
        <w:t>, or has any history of equine use</w:t>
      </w:r>
      <w:r w:rsidRPr="00056B6E">
        <w:rPr>
          <w:rFonts w:asciiTheme="majorHAnsi" w:eastAsia="Times New Roman" w:hAnsiTheme="majorHAnsi" w:cs="Times New Roman"/>
          <w:color w:val="000000"/>
          <w:sz w:val="22"/>
          <w:szCs w:val="22"/>
          <w:lang w:eastAsia="en-AU"/>
        </w:rPr>
        <w:t xml:space="preserve">. This parcel of land has been identified for many years as unsuitable for the growing of commercial vines and was designated by the owners for non-prime agricultural land uses, evidenced by the development consent granted by Council for a winery and associated product warehouse, bottling/packaging plant and dry barrel storage facility on site.  The need for an </w:t>
      </w:r>
      <w:proofErr w:type="spellStart"/>
      <w:r w:rsidRPr="00056B6E">
        <w:rPr>
          <w:rFonts w:asciiTheme="majorHAnsi" w:eastAsia="Times New Roman" w:hAnsiTheme="majorHAnsi" w:cs="Times New Roman"/>
          <w:color w:val="000000"/>
          <w:sz w:val="22"/>
          <w:szCs w:val="22"/>
          <w:lang w:eastAsia="en-AU"/>
        </w:rPr>
        <w:t>on site</w:t>
      </w:r>
      <w:proofErr w:type="spellEnd"/>
      <w:r w:rsidRPr="00056B6E">
        <w:rPr>
          <w:rFonts w:asciiTheme="majorHAnsi" w:eastAsia="Times New Roman" w:hAnsiTheme="majorHAnsi" w:cs="Times New Roman"/>
          <w:color w:val="000000"/>
          <w:sz w:val="22"/>
          <w:szCs w:val="22"/>
          <w:lang w:eastAsia="en-AU"/>
        </w:rPr>
        <w:t xml:space="preserve"> winery has passed and there are now long term contracts in place for wine making off site which render this parcel of land surplus to the agricultural needs of the adjoining Two Rivers Vineyard. </w:t>
      </w:r>
    </w:p>
    <w:p w:rsidR="00471310" w:rsidRDefault="00471310" w:rsidP="00471310">
      <w:pPr>
        <w:jc w:val="both"/>
        <w:rPr>
          <w:rFonts w:asciiTheme="majorHAnsi" w:eastAsia="Times New Roman" w:hAnsiTheme="majorHAnsi" w:cs="Times New Roman"/>
          <w:color w:val="000000"/>
          <w:sz w:val="22"/>
          <w:szCs w:val="22"/>
          <w:lang w:eastAsia="en-AU"/>
        </w:rPr>
      </w:pPr>
      <w:r w:rsidRPr="00056B6E">
        <w:rPr>
          <w:rFonts w:asciiTheme="majorHAnsi" w:eastAsia="Times New Roman" w:hAnsiTheme="majorHAnsi" w:cs="Times New Roman"/>
          <w:color w:val="000000"/>
          <w:sz w:val="22"/>
          <w:szCs w:val="22"/>
          <w:lang w:eastAsia="en-AU"/>
        </w:rPr>
        <w:t xml:space="preserve">The future design of the large lot residential housing development will incorporate appropriate setbacks and buffers to ensure there will be no land use conflict between the housing and viticultural uses.  </w:t>
      </w:r>
      <w:r w:rsidR="006119D7">
        <w:rPr>
          <w:rFonts w:asciiTheme="majorHAnsi" w:eastAsia="Times New Roman" w:hAnsiTheme="majorHAnsi" w:cs="Times New Roman"/>
          <w:color w:val="000000"/>
          <w:sz w:val="22"/>
          <w:szCs w:val="22"/>
          <w:lang w:eastAsia="en-AU"/>
        </w:rPr>
        <w:t xml:space="preserve">A concept lot layout has been prepared to demonstrate such buffer distances can be achieved between the neighbouring properties. It is noted that this layout is indicative only and an </w:t>
      </w:r>
      <w:proofErr w:type="spellStart"/>
      <w:r w:rsidR="006119D7">
        <w:rPr>
          <w:rFonts w:asciiTheme="majorHAnsi" w:eastAsia="Times New Roman" w:hAnsiTheme="majorHAnsi" w:cs="Times New Roman"/>
          <w:color w:val="000000"/>
          <w:sz w:val="22"/>
          <w:szCs w:val="22"/>
          <w:lang w:eastAsia="en-AU"/>
        </w:rPr>
        <w:t>alterative</w:t>
      </w:r>
      <w:proofErr w:type="spellEnd"/>
      <w:r w:rsidR="006119D7">
        <w:rPr>
          <w:rFonts w:asciiTheme="majorHAnsi" w:eastAsia="Times New Roman" w:hAnsiTheme="majorHAnsi" w:cs="Times New Roman"/>
          <w:color w:val="000000"/>
          <w:sz w:val="22"/>
          <w:szCs w:val="22"/>
          <w:lang w:eastAsia="en-AU"/>
        </w:rPr>
        <w:t xml:space="preserve"> plan may be developed in the future subject to further design considerations. </w:t>
      </w:r>
      <w:r w:rsidRPr="00056B6E">
        <w:rPr>
          <w:rFonts w:asciiTheme="majorHAnsi" w:eastAsia="Times New Roman" w:hAnsiTheme="majorHAnsi" w:cs="Times New Roman"/>
          <w:color w:val="000000"/>
          <w:sz w:val="22"/>
          <w:szCs w:val="22"/>
          <w:lang w:eastAsia="en-AU"/>
        </w:rPr>
        <w:t xml:space="preserve">There are numerous successful examples where housing and vineyards can co-exist and having the one owner designing and developing both land uses means that the opportunity for </w:t>
      </w:r>
      <w:r>
        <w:rPr>
          <w:rFonts w:asciiTheme="majorHAnsi" w:eastAsia="Times New Roman" w:hAnsiTheme="majorHAnsi" w:cs="Times New Roman"/>
          <w:color w:val="000000"/>
          <w:sz w:val="22"/>
          <w:szCs w:val="22"/>
          <w:lang w:eastAsia="en-AU"/>
        </w:rPr>
        <w:t xml:space="preserve">land use </w:t>
      </w:r>
      <w:r w:rsidRPr="00056B6E">
        <w:rPr>
          <w:rFonts w:asciiTheme="majorHAnsi" w:eastAsia="Times New Roman" w:hAnsiTheme="majorHAnsi" w:cs="Times New Roman"/>
          <w:color w:val="000000"/>
          <w:sz w:val="22"/>
          <w:szCs w:val="22"/>
          <w:lang w:eastAsia="en-AU"/>
        </w:rPr>
        <w:t xml:space="preserve">conflict will be negligible and managed in the long term.  The proposed rezoning and use of the site for large lot residential purposes is compatible with the Critical Industry Cluster Viticulture and is consistent with the Upper Hunter SRLUP. </w:t>
      </w:r>
    </w:p>
    <w:p w:rsidR="00082DC1" w:rsidRDefault="00082DC1" w:rsidP="00BF2EA7">
      <w:pPr>
        <w:jc w:val="both"/>
        <w:rPr>
          <w:rFonts w:asciiTheme="majorHAnsi" w:eastAsia="Times New Roman" w:hAnsiTheme="majorHAnsi" w:cs="Times New Roman"/>
          <w:color w:val="000000"/>
          <w:sz w:val="22"/>
          <w:szCs w:val="22"/>
          <w:lang w:eastAsia="en-AU"/>
        </w:rPr>
      </w:pPr>
      <w:r w:rsidRPr="00E136CD">
        <w:rPr>
          <w:rFonts w:asciiTheme="majorHAnsi" w:eastAsia="Times New Roman" w:hAnsiTheme="majorHAnsi" w:cs="Times New Roman"/>
          <w:b/>
          <w:color w:val="000000"/>
          <w:sz w:val="22"/>
          <w:szCs w:val="22"/>
          <w:lang w:eastAsia="en-AU"/>
        </w:rPr>
        <w:t>Chapter 4</w:t>
      </w:r>
      <w:r>
        <w:rPr>
          <w:rFonts w:asciiTheme="majorHAnsi" w:eastAsia="Times New Roman" w:hAnsiTheme="majorHAnsi" w:cs="Times New Roman"/>
          <w:color w:val="000000"/>
          <w:sz w:val="22"/>
          <w:szCs w:val="22"/>
          <w:lang w:eastAsia="en-AU"/>
        </w:rPr>
        <w:t xml:space="preserve"> of Upper Hunter SR</w:t>
      </w:r>
      <w:r w:rsidR="00E136CD">
        <w:rPr>
          <w:rFonts w:asciiTheme="majorHAnsi" w:eastAsia="Times New Roman" w:hAnsiTheme="majorHAnsi" w:cs="Times New Roman"/>
          <w:color w:val="000000"/>
          <w:sz w:val="22"/>
          <w:szCs w:val="22"/>
          <w:lang w:eastAsia="en-AU"/>
        </w:rPr>
        <w:t>LUP relates to Infrastructure P</w:t>
      </w:r>
      <w:r>
        <w:rPr>
          <w:rFonts w:asciiTheme="majorHAnsi" w:eastAsia="Times New Roman" w:hAnsiTheme="majorHAnsi" w:cs="Times New Roman"/>
          <w:color w:val="000000"/>
          <w:sz w:val="22"/>
          <w:szCs w:val="22"/>
          <w:lang w:eastAsia="en-AU"/>
        </w:rPr>
        <w:t>rovision and the objectives are:</w:t>
      </w:r>
    </w:p>
    <w:p w:rsidR="00D81283" w:rsidRDefault="00367AF7">
      <w:pPr>
        <w:pStyle w:val="ListParagraph"/>
        <w:numPr>
          <w:ilvl w:val="0"/>
          <w:numId w:val="38"/>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sufficient infrastructure provision to carer for sustainable economic and population growth in the region;</w:t>
      </w:r>
    </w:p>
    <w:p w:rsidR="00D81283" w:rsidRDefault="00367AF7">
      <w:pPr>
        <w:pStyle w:val="ListParagraph"/>
        <w:numPr>
          <w:ilvl w:val="0"/>
          <w:numId w:val="38"/>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a balanced approach to infrastructure provision across all key industries, in particular to ensure that infrastructure growth to support the coal and coal seam gas industries does not adversely impact upon agriculture.</w:t>
      </w:r>
    </w:p>
    <w:p w:rsidR="00D868AE" w:rsidRDefault="008372B5" w:rsidP="00BF2EA7">
      <w:pPr>
        <w:jc w:val="both"/>
        <w:rPr>
          <w:rFonts w:asciiTheme="majorHAnsi" w:hAnsiTheme="majorHAnsi"/>
          <w:sz w:val="22"/>
        </w:rPr>
      </w:pPr>
      <w:r>
        <w:rPr>
          <w:rFonts w:asciiTheme="majorHAnsi" w:eastAsia="Times New Roman" w:hAnsiTheme="majorHAnsi" w:cs="Times New Roman"/>
          <w:color w:val="000000"/>
          <w:sz w:val="22"/>
          <w:szCs w:val="22"/>
          <w:lang w:eastAsia="en-AU"/>
        </w:rPr>
        <w:t xml:space="preserve">The site the subject of this </w:t>
      </w:r>
      <w:r w:rsidR="006C7B49">
        <w:rPr>
          <w:rFonts w:asciiTheme="majorHAnsi" w:eastAsia="Times New Roman" w:hAnsiTheme="majorHAnsi" w:cs="Times New Roman"/>
          <w:color w:val="000000"/>
          <w:sz w:val="22"/>
          <w:szCs w:val="22"/>
          <w:lang w:eastAsia="en-AU"/>
        </w:rPr>
        <w:t>Planning Proposal</w:t>
      </w:r>
      <w:r>
        <w:rPr>
          <w:rFonts w:asciiTheme="majorHAnsi" w:eastAsia="Times New Roman" w:hAnsiTheme="majorHAnsi" w:cs="Times New Roman"/>
          <w:color w:val="000000"/>
          <w:sz w:val="22"/>
          <w:szCs w:val="22"/>
          <w:lang w:eastAsia="en-AU"/>
        </w:rPr>
        <w:t xml:space="preserve"> is located </w:t>
      </w:r>
      <w:r w:rsidR="00367AF7" w:rsidRPr="00367AF7">
        <w:rPr>
          <w:rFonts w:asciiTheme="majorHAnsi" w:hAnsiTheme="majorHAnsi"/>
          <w:sz w:val="22"/>
        </w:rPr>
        <w:t xml:space="preserve">on the edge of Denman </w:t>
      </w:r>
      <w:proofErr w:type="gramStart"/>
      <w:r w:rsidR="00367AF7" w:rsidRPr="00367AF7">
        <w:rPr>
          <w:rFonts w:asciiTheme="majorHAnsi" w:hAnsiTheme="majorHAnsi"/>
          <w:sz w:val="22"/>
        </w:rPr>
        <w:t>township</w:t>
      </w:r>
      <w:proofErr w:type="gramEnd"/>
      <w:r w:rsidR="00367AF7" w:rsidRPr="00367AF7">
        <w:rPr>
          <w:rFonts w:asciiTheme="majorHAnsi" w:hAnsiTheme="majorHAnsi"/>
          <w:sz w:val="22"/>
        </w:rPr>
        <w:t xml:space="preserve"> </w:t>
      </w:r>
      <w:r w:rsidR="00D868AE">
        <w:rPr>
          <w:rFonts w:asciiTheme="majorHAnsi" w:hAnsiTheme="majorHAnsi"/>
          <w:sz w:val="22"/>
        </w:rPr>
        <w:t>close to all existing services and there are no major impediments to infrastructure servicing of the site, as discussed</w:t>
      </w:r>
      <w:r w:rsidR="00E136CD">
        <w:rPr>
          <w:rFonts w:asciiTheme="majorHAnsi" w:hAnsiTheme="majorHAnsi"/>
          <w:sz w:val="22"/>
        </w:rPr>
        <w:t xml:space="preserve"> elsewhere in </w:t>
      </w:r>
      <w:r w:rsidR="00D868AE">
        <w:rPr>
          <w:rFonts w:asciiTheme="majorHAnsi" w:hAnsiTheme="majorHAnsi"/>
          <w:sz w:val="22"/>
        </w:rPr>
        <w:t>this report</w:t>
      </w:r>
      <w:r w:rsidR="006119D7">
        <w:rPr>
          <w:rFonts w:asciiTheme="majorHAnsi" w:hAnsiTheme="majorHAnsi"/>
          <w:sz w:val="22"/>
        </w:rPr>
        <w:t xml:space="preserve"> and demonstrated by the Engineering Services </w:t>
      </w:r>
      <w:r w:rsidR="006119D7">
        <w:rPr>
          <w:rFonts w:asciiTheme="majorHAnsi" w:hAnsiTheme="majorHAnsi"/>
          <w:sz w:val="22"/>
        </w:rPr>
        <w:lastRenderedPageBreak/>
        <w:t>Report prepared by RHM Engi</w:t>
      </w:r>
      <w:r w:rsidR="00B30F8F">
        <w:rPr>
          <w:rFonts w:asciiTheme="majorHAnsi" w:hAnsiTheme="majorHAnsi"/>
          <w:sz w:val="22"/>
        </w:rPr>
        <w:t xml:space="preserve">neers and provided in </w:t>
      </w:r>
      <w:r w:rsidR="00B30F8F" w:rsidRPr="008B3B98">
        <w:rPr>
          <w:rFonts w:asciiTheme="majorHAnsi" w:hAnsiTheme="majorHAnsi"/>
          <w:b/>
          <w:sz w:val="22"/>
        </w:rPr>
        <w:t>Appendix 4</w:t>
      </w:r>
      <w:r w:rsidR="006119D7">
        <w:rPr>
          <w:rFonts w:asciiTheme="majorHAnsi" w:hAnsiTheme="majorHAnsi"/>
          <w:sz w:val="22"/>
        </w:rPr>
        <w:t xml:space="preserve"> to this report. </w:t>
      </w:r>
      <w:r w:rsidR="00D868AE">
        <w:rPr>
          <w:rFonts w:asciiTheme="majorHAnsi" w:hAnsiTheme="majorHAnsi"/>
          <w:sz w:val="22"/>
        </w:rPr>
        <w:t xml:space="preserve">. </w:t>
      </w:r>
      <w:r w:rsidR="00D868AE">
        <w:rPr>
          <w:rFonts w:asciiTheme="majorHAnsi" w:eastAsia="Times New Roman" w:hAnsiTheme="majorHAnsi" w:cs="Times New Roman"/>
          <w:color w:val="000000"/>
          <w:sz w:val="22"/>
          <w:szCs w:val="22"/>
          <w:lang w:eastAsia="en-AU"/>
        </w:rPr>
        <w:t xml:space="preserve">Consideration has also been given to the Actions under Chapter 4 of </w:t>
      </w:r>
      <w:r w:rsidR="00D868AE" w:rsidRPr="00BF79A7">
        <w:rPr>
          <w:rFonts w:asciiTheme="majorHAnsi" w:eastAsia="Times New Roman" w:hAnsiTheme="majorHAnsi" w:cs="Times New Roman"/>
          <w:color w:val="000000"/>
          <w:sz w:val="22"/>
          <w:szCs w:val="22"/>
          <w:lang w:eastAsia="en-AU"/>
        </w:rPr>
        <w:t xml:space="preserve">Upper Hunter SRLUP </w:t>
      </w:r>
      <w:r w:rsidR="00D868AE">
        <w:rPr>
          <w:rFonts w:asciiTheme="majorHAnsi" w:eastAsia="Times New Roman" w:hAnsiTheme="majorHAnsi" w:cs="Times New Roman"/>
          <w:color w:val="000000"/>
          <w:sz w:val="22"/>
          <w:szCs w:val="22"/>
          <w:lang w:eastAsia="en-AU"/>
        </w:rPr>
        <w:t xml:space="preserve">and it is submitted that the </w:t>
      </w:r>
      <w:r w:rsidR="006C7B49">
        <w:rPr>
          <w:rFonts w:asciiTheme="majorHAnsi" w:eastAsia="Times New Roman" w:hAnsiTheme="majorHAnsi" w:cs="Times New Roman"/>
          <w:color w:val="000000"/>
          <w:sz w:val="22"/>
          <w:szCs w:val="22"/>
          <w:lang w:eastAsia="en-AU"/>
        </w:rPr>
        <w:t>Planning Proposal</w:t>
      </w:r>
      <w:r w:rsidR="00D868AE">
        <w:rPr>
          <w:rFonts w:asciiTheme="majorHAnsi" w:eastAsia="Times New Roman" w:hAnsiTheme="majorHAnsi" w:cs="Times New Roman"/>
          <w:color w:val="000000"/>
          <w:sz w:val="22"/>
          <w:szCs w:val="22"/>
          <w:lang w:eastAsia="en-AU"/>
        </w:rPr>
        <w:t xml:space="preserve"> is consistent with Action 4.3, as the site </w:t>
      </w:r>
      <w:r w:rsidR="00E136CD">
        <w:rPr>
          <w:rFonts w:asciiTheme="majorHAnsi" w:eastAsia="Times New Roman" w:hAnsiTheme="majorHAnsi" w:cs="Times New Roman"/>
          <w:color w:val="000000"/>
          <w:sz w:val="22"/>
          <w:szCs w:val="22"/>
          <w:lang w:eastAsia="en-AU"/>
        </w:rPr>
        <w:t xml:space="preserve">is </w:t>
      </w:r>
      <w:r w:rsidR="00D868AE">
        <w:rPr>
          <w:rFonts w:asciiTheme="majorHAnsi" w:eastAsia="Times New Roman" w:hAnsiTheme="majorHAnsi" w:cs="Times New Roman"/>
          <w:color w:val="000000"/>
          <w:sz w:val="22"/>
          <w:szCs w:val="22"/>
          <w:lang w:eastAsia="en-AU"/>
        </w:rPr>
        <w:t xml:space="preserve">for future housing </w:t>
      </w:r>
      <w:r w:rsidR="00E136CD">
        <w:rPr>
          <w:rFonts w:asciiTheme="majorHAnsi" w:eastAsia="Times New Roman" w:hAnsiTheme="majorHAnsi" w:cs="Times New Roman"/>
          <w:color w:val="000000"/>
          <w:sz w:val="22"/>
          <w:szCs w:val="22"/>
          <w:lang w:eastAsia="en-AU"/>
        </w:rPr>
        <w:t xml:space="preserve">and </w:t>
      </w:r>
      <w:r w:rsidR="00D868AE">
        <w:rPr>
          <w:rFonts w:asciiTheme="majorHAnsi" w:eastAsia="Times New Roman" w:hAnsiTheme="majorHAnsi" w:cs="Times New Roman"/>
          <w:color w:val="000000"/>
          <w:sz w:val="22"/>
          <w:szCs w:val="22"/>
          <w:lang w:eastAsia="en-AU"/>
        </w:rPr>
        <w:t>can be adequately serviced</w:t>
      </w:r>
      <w:r w:rsidR="00E136CD">
        <w:rPr>
          <w:rFonts w:asciiTheme="majorHAnsi" w:eastAsia="Times New Roman" w:hAnsiTheme="majorHAnsi" w:cs="Times New Roman"/>
          <w:color w:val="000000"/>
          <w:sz w:val="22"/>
          <w:szCs w:val="22"/>
          <w:lang w:eastAsia="en-AU"/>
        </w:rPr>
        <w:t>.</w:t>
      </w:r>
    </w:p>
    <w:p w:rsidR="00D868AE" w:rsidRDefault="00D868AE" w:rsidP="00BF2EA7">
      <w:pPr>
        <w:jc w:val="both"/>
        <w:rPr>
          <w:rFonts w:asciiTheme="majorHAnsi" w:eastAsia="Times New Roman" w:hAnsiTheme="majorHAnsi" w:cs="Times New Roman"/>
          <w:color w:val="000000"/>
          <w:sz w:val="22"/>
          <w:szCs w:val="22"/>
          <w:lang w:eastAsia="en-AU"/>
        </w:rPr>
      </w:pPr>
      <w:r w:rsidRPr="00E136CD">
        <w:rPr>
          <w:rFonts w:asciiTheme="majorHAnsi" w:eastAsia="Times New Roman" w:hAnsiTheme="majorHAnsi" w:cs="Times New Roman"/>
          <w:b/>
          <w:color w:val="000000"/>
          <w:sz w:val="22"/>
          <w:szCs w:val="22"/>
          <w:lang w:eastAsia="en-AU"/>
        </w:rPr>
        <w:t>Chapter 5</w:t>
      </w:r>
      <w:r>
        <w:rPr>
          <w:rFonts w:asciiTheme="majorHAnsi" w:eastAsia="Times New Roman" w:hAnsiTheme="majorHAnsi" w:cs="Times New Roman"/>
          <w:color w:val="000000"/>
          <w:sz w:val="22"/>
          <w:szCs w:val="22"/>
          <w:lang w:eastAsia="en-AU"/>
        </w:rPr>
        <w:t xml:space="preserve"> of Upper Hunter SR</w:t>
      </w:r>
      <w:r w:rsidR="00E136CD">
        <w:rPr>
          <w:rFonts w:asciiTheme="majorHAnsi" w:eastAsia="Times New Roman" w:hAnsiTheme="majorHAnsi" w:cs="Times New Roman"/>
          <w:color w:val="000000"/>
          <w:sz w:val="22"/>
          <w:szCs w:val="22"/>
          <w:lang w:eastAsia="en-AU"/>
        </w:rPr>
        <w:t>LUP relates to Economic Development and E</w:t>
      </w:r>
      <w:r>
        <w:rPr>
          <w:rFonts w:asciiTheme="majorHAnsi" w:eastAsia="Times New Roman" w:hAnsiTheme="majorHAnsi" w:cs="Times New Roman"/>
          <w:color w:val="000000"/>
          <w:sz w:val="22"/>
          <w:szCs w:val="22"/>
          <w:lang w:eastAsia="en-AU"/>
        </w:rPr>
        <w:t>mployment and the objectives are:</w:t>
      </w:r>
    </w:p>
    <w:p w:rsidR="00D81283" w:rsidRDefault="00367AF7">
      <w:pPr>
        <w:pStyle w:val="ListParagraph"/>
        <w:numPr>
          <w:ilvl w:val="0"/>
          <w:numId w:val="39"/>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an adequate supply of land for the needs of Upper Hunter industries;</w:t>
      </w:r>
    </w:p>
    <w:p w:rsidR="00D81283" w:rsidRDefault="00367AF7">
      <w:pPr>
        <w:pStyle w:val="ListParagraph"/>
        <w:numPr>
          <w:ilvl w:val="0"/>
          <w:numId w:val="39"/>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Ensure an adequate supply of labour for the needs of Upper Hunter industries;</w:t>
      </w:r>
    </w:p>
    <w:p w:rsidR="00D81283" w:rsidRDefault="00367AF7">
      <w:pPr>
        <w:pStyle w:val="ListParagraph"/>
        <w:numPr>
          <w:ilvl w:val="0"/>
          <w:numId w:val="39"/>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Diversify the region’s economy and build economic resilience;</w:t>
      </w:r>
    </w:p>
    <w:p w:rsidR="00D81283" w:rsidRDefault="00367AF7">
      <w:pPr>
        <w:pStyle w:val="ListParagraph"/>
        <w:numPr>
          <w:ilvl w:val="0"/>
          <w:numId w:val="39"/>
        </w:numPr>
        <w:jc w:val="both"/>
        <w:rPr>
          <w:rFonts w:asciiTheme="majorHAnsi" w:eastAsia="Times New Roman" w:hAnsiTheme="majorHAnsi" w:cs="Times New Roman"/>
          <w:i/>
          <w:color w:val="000000"/>
          <w:sz w:val="22"/>
          <w:szCs w:val="22"/>
          <w:lang w:eastAsia="en-AU"/>
        </w:rPr>
      </w:pPr>
      <w:r w:rsidRPr="00367AF7">
        <w:rPr>
          <w:rFonts w:asciiTheme="majorHAnsi" w:eastAsia="Times New Roman" w:hAnsiTheme="majorHAnsi" w:cs="Times New Roman"/>
          <w:i/>
          <w:color w:val="000000"/>
          <w:sz w:val="22"/>
          <w:szCs w:val="22"/>
          <w:lang w:eastAsia="en-AU"/>
        </w:rPr>
        <w:t>Build cohesive and liveable communities by addressing conflicts in demand for resources and improving access to employment and training.</w:t>
      </w:r>
    </w:p>
    <w:p w:rsidR="00BF2EA7" w:rsidRPr="00AA19DD" w:rsidRDefault="00D96651" w:rsidP="00BF2EA7">
      <w:pPr>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As highlighted earlier in this report, T</w:t>
      </w:r>
      <w:r w:rsidR="00BF2EA7" w:rsidRPr="00056B6E">
        <w:rPr>
          <w:rFonts w:asciiTheme="majorHAnsi" w:eastAsia="Times New Roman" w:hAnsiTheme="majorHAnsi" w:cs="Times New Roman"/>
          <w:color w:val="000000"/>
          <w:sz w:val="22"/>
          <w:szCs w:val="22"/>
          <w:lang w:eastAsia="en-AU"/>
        </w:rPr>
        <w:t xml:space="preserve">wo Rivers are a long-term member of the Denman community and a major tourism generator for the Upper Hunter Valley. </w:t>
      </w:r>
      <w:r w:rsidR="00D868AE" w:rsidRPr="00056B6E">
        <w:rPr>
          <w:rFonts w:asciiTheme="majorHAnsi" w:eastAsia="Times New Roman" w:hAnsiTheme="majorHAnsi" w:cs="Times New Roman"/>
          <w:color w:val="000000"/>
          <w:sz w:val="22"/>
          <w:szCs w:val="22"/>
          <w:lang w:eastAsia="en-AU"/>
        </w:rPr>
        <w:t>Two Rivers has won multiple awards for their wines since starting their business in 1988, the latest being a Gold Medal from the Hunter Va</w:t>
      </w:r>
      <w:r w:rsidR="00D868AE">
        <w:rPr>
          <w:rFonts w:asciiTheme="majorHAnsi" w:eastAsia="Times New Roman" w:hAnsiTheme="majorHAnsi" w:cs="Times New Roman"/>
          <w:color w:val="000000"/>
          <w:sz w:val="22"/>
          <w:szCs w:val="22"/>
          <w:lang w:eastAsia="en-AU"/>
        </w:rPr>
        <w:t xml:space="preserve">lley Wine Show August 2014. </w:t>
      </w:r>
      <w:r w:rsidR="00D868AE" w:rsidRPr="00056B6E">
        <w:rPr>
          <w:rFonts w:asciiTheme="majorHAnsi" w:eastAsia="Times New Roman" w:hAnsiTheme="majorHAnsi" w:cs="Times New Roman"/>
          <w:color w:val="000000"/>
          <w:sz w:val="22"/>
          <w:szCs w:val="22"/>
          <w:lang w:eastAsia="en-AU"/>
        </w:rPr>
        <w:t xml:space="preserve">Two Rivers have a cellar door and a single guest cottage, both of which are popular tourist attractions for Denman.  The owners are </w:t>
      </w:r>
      <w:r w:rsidR="00D868AE">
        <w:rPr>
          <w:rFonts w:asciiTheme="majorHAnsi" w:eastAsia="Times New Roman" w:hAnsiTheme="majorHAnsi" w:cs="Times New Roman"/>
          <w:color w:val="000000"/>
          <w:sz w:val="22"/>
          <w:szCs w:val="22"/>
          <w:lang w:eastAsia="en-AU"/>
        </w:rPr>
        <w:t>committed</w:t>
      </w:r>
      <w:r w:rsidR="00D868AE" w:rsidRPr="00056B6E">
        <w:rPr>
          <w:rFonts w:asciiTheme="majorHAnsi" w:eastAsia="Times New Roman" w:hAnsiTheme="majorHAnsi" w:cs="Times New Roman"/>
          <w:color w:val="000000"/>
          <w:sz w:val="22"/>
          <w:szCs w:val="22"/>
          <w:lang w:eastAsia="en-AU"/>
        </w:rPr>
        <w:t xml:space="preserve"> to </w:t>
      </w:r>
      <w:r w:rsidR="00D868AE">
        <w:rPr>
          <w:rFonts w:asciiTheme="majorHAnsi" w:eastAsia="Times New Roman" w:hAnsiTheme="majorHAnsi" w:cs="Times New Roman"/>
          <w:color w:val="000000"/>
          <w:sz w:val="22"/>
          <w:szCs w:val="22"/>
          <w:lang w:eastAsia="en-AU"/>
        </w:rPr>
        <w:t>improving the tourist</w:t>
      </w:r>
      <w:r w:rsidR="00D868AE" w:rsidRPr="00056B6E">
        <w:rPr>
          <w:rFonts w:asciiTheme="majorHAnsi" w:eastAsia="Times New Roman" w:hAnsiTheme="majorHAnsi" w:cs="Times New Roman"/>
          <w:color w:val="000000"/>
          <w:sz w:val="22"/>
          <w:szCs w:val="22"/>
          <w:lang w:eastAsia="en-AU"/>
        </w:rPr>
        <w:t xml:space="preserve"> facilities available on the Two Rivers site and </w:t>
      </w:r>
      <w:r w:rsidR="00D868AE">
        <w:rPr>
          <w:rFonts w:asciiTheme="majorHAnsi" w:eastAsia="Times New Roman" w:hAnsiTheme="majorHAnsi" w:cs="Times New Roman"/>
          <w:color w:val="000000"/>
          <w:sz w:val="22"/>
          <w:szCs w:val="22"/>
          <w:lang w:eastAsia="en-AU"/>
        </w:rPr>
        <w:t xml:space="preserve">are keen to proceed with the approved tourism accommodation, which </w:t>
      </w:r>
      <w:r w:rsidR="00D868AE" w:rsidRPr="00C74987">
        <w:rPr>
          <w:rFonts w:asciiTheme="majorHAnsi" w:eastAsia="Times New Roman" w:hAnsiTheme="majorHAnsi" w:cs="Times New Roman"/>
          <w:color w:val="000000"/>
          <w:sz w:val="22"/>
          <w:lang w:eastAsia="en-AU"/>
        </w:rPr>
        <w:t xml:space="preserve">has been economically unviable to date. </w:t>
      </w:r>
      <w:r w:rsidR="00D868AE">
        <w:rPr>
          <w:rFonts w:asciiTheme="majorHAnsi" w:eastAsia="Times New Roman" w:hAnsiTheme="majorHAnsi" w:cs="Times New Roman"/>
          <w:color w:val="000000"/>
          <w:sz w:val="22"/>
          <w:lang w:eastAsia="en-AU"/>
        </w:rPr>
        <w:t>The owners see the potential for the rezoning of Waebron to generate the much needed capital to fund the approved tourism facilities at Two Rivers</w:t>
      </w:r>
      <w:r w:rsidR="00D868AE" w:rsidRPr="00056B6E">
        <w:rPr>
          <w:rFonts w:asciiTheme="majorHAnsi" w:eastAsia="Times New Roman" w:hAnsiTheme="majorHAnsi" w:cs="Times New Roman"/>
          <w:color w:val="000000"/>
          <w:sz w:val="22"/>
          <w:szCs w:val="22"/>
          <w:lang w:eastAsia="en-AU"/>
        </w:rPr>
        <w:t xml:space="preserve">.  </w:t>
      </w:r>
      <w:r w:rsidR="00BF2EA7" w:rsidRPr="00056B6E">
        <w:rPr>
          <w:rFonts w:asciiTheme="majorHAnsi" w:eastAsia="Times New Roman" w:hAnsiTheme="majorHAnsi" w:cs="Times New Roman"/>
          <w:color w:val="000000"/>
          <w:sz w:val="22"/>
          <w:szCs w:val="22"/>
          <w:lang w:eastAsia="en-AU"/>
        </w:rPr>
        <w:t xml:space="preserve">The rezoning and development of </w:t>
      </w:r>
      <w:r w:rsidR="00D868AE">
        <w:rPr>
          <w:rFonts w:asciiTheme="majorHAnsi" w:eastAsia="Times New Roman" w:hAnsiTheme="majorHAnsi" w:cs="Times New Roman"/>
          <w:color w:val="000000"/>
          <w:sz w:val="22"/>
          <w:szCs w:val="22"/>
          <w:lang w:eastAsia="en-AU"/>
        </w:rPr>
        <w:t>the site</w:t>
      </w:r>
      <w:r w:rsidR="00BF2EA7" w:rsidRPr="00056B6E">
        <w:rPr>
          <w:rFonts w:asciiTheme="majorHAnsi" w:eastAsia="Times New Roman" w:hAnsiTheme="majorHAnsi" w:cs="Times New Roman"/>
          <w:color w:val="000000"/>
          <w:sz w:val="22"/>
          <w:szCs w:val="22"/>
          <w:lang w:eastAsia="en-AU"/>
        </w:rPr>
        <w:t xml:space="preserve">, given its limited agricultural capacity, proximity to existing services and unique scenic attributes provides an opportunity for the owners to reinvest in the long-term future of their viticulture business and cement Two Rivers as a major tourist destination for the Upper Hunter.  </w:t>
      </w:r>
      <w:r w:rsidR="00450F27">
        <w:rPr>
          <w:rFonts w:asciiTheme="majorHAnsi" w:eastAsia="Times New Roman" w:hAnsiTheme="majorHAnsi" w:cs="Times New Roman"/>
          <w:color w:val="000000"/>
          <w:sz w:val="22"/>
          <w:szCs w:val="22"/>
          <w:lang w:eastAsia="en-AU"/>
        </w:rPr>
        <w:t>It is submitted that this</w:t>
      </w:r>
      <w:r w:rsidR="00BF2EA7">
        <w:rPr>
          <w:rFonts w:asciiTheme="majorHAnsi" w:eastAsia="Times New Roman" w:hAnsiTheme="majorHAnsi" w:cs="Times New Roman"/>
          <w:color w:val="000000"/>
          <w:sz w:val="22"/>
          <w:szCs w:val="22"/>
          <w:lang w:eastAsia="en-AU"/>
        </w:rPr>
        <w:t xml:space="preserve"> potential viticulture </w:t>
      </w:r>
      <w:r w:rsidR="00450F27">
        <w:rPr>
          <w:rFonts w:asciiTheme="majorHAnsi" w:eastAsia="Times New Roman" w:hAnsiTheme="majorHAnsi" w:cs="Times New Roman"/>
          <w:color w:val="000000"/>
          <w:sz w:val="22"/>
          <w:szCs w:val="22"/>
          <w:lang w:eastAsia="en-AU"/>
        </w:rPr>
        <w:t xml:space="preserve">tourism investment for Two Rivers is consistent with the objectives </w:t>
      </w:r>
      <w:r w:rsidR="009323AB">
        <w:rPr>
          <w:rFonts w:asciiTheme="majorHAnsi" w:eastAsia="Times New Roman" w:hAnsiTheme="majorHAnsi" w:cs="Times New Roman"/>
          <w:color w:val="000000"/>
          <w:sz w:val="22"/>
          <w:szCs w:val="22"/>
          <w:lang w:eastAsia="en-AU"/>
        </w:rPr>
        <w:t>Chapter 5</w:t>
      </w:r>
      <w:r w:rsidR="00D868AE">
        <w:rPr>
          <w:rFonts w:asciiTheme="majorHAnsi" w:eastAsia="Times New Roman" w:hAnsiTheme="majorHAnsi" w:cs="Times New Roman"/>
          <w:color w:val="000000"/>
          <w:sz w:val="22"/>
          <w:szCs w:val="22"/>
          <w:lang w:eastAsia="en-AU"/>
        </w:rPr>
        <w:t xml:space="preserve"> of </w:t>
      </w:r>
      <w:r w:rsidR="00450F27">
        <w:rPr>
          <w:rFonts w:asciiTheme="majorHAnsi" w:eastAsia="Times New Roman" w:hAnsiTheme="majorHAnsi" w:cs="Times New Roman"/>
          <w:color w:val="000000"/>
          <w:sz w:val="22"/>
          <w:szCs w:val="22"/>
          <w:lang w:eastAsia="en-AU"/>
        </w:rPr>
        <w:t xml:space="preserve">Upper Hunter </w:t>
      </w:r>
      <w:r>
        <w:rPr>
          <w:rFonts w:asciiTheme="majorHAnsi" w:eastAsia="Times New Roman" w:hAnsiTheme="majorHAnsi" w:cs="Times New Roman"/>
          <w:color w:val="000000"/>
          <w:sz w:val="22"/>
          <w:szCs w:val="22"/>
          <w:lang w:eastAsia="en-AU"/>
        </w:rPr>
        <w:t>SRLUP, which aim</w:t>
      </w:r>
      <w:r w:rsidR="00D868AE">
        <w:rPr>
          <w:rFonts w:asciiTheme="majorHAnsi" w:eastAsia="Times New Roman" w:hAnsiTheme="majorHAnsi" w:cs="Times New Roman"/>
          <w:color w:val="000000"/>
          <w:sz w:val="22"/>
          <w:szCs w:val="22"/>
          <w:lang w:eastAsia="en-AU"/>
        </w:rPr>
        <w:t xml:space="preserve"> to diversity the </w:t>
      </w:r>
      <w:r w:rsidR="002626A8">
        <w:rPr>
          <w:rFonts w:asciiTheme="majorHAnsi" w:eastAsia="Times New Roman" w:hAnsiTheme="majorHAnsi" w:cs="Times New Roman"/>
          <w:color w:val="000000"/>
          <w:sz w:val="22"/>
          <w:szCs w:val="22"/>
          <w:lang w:eastAsia="en-AU"/>
        </w:rPr>
        <w:t>region’s</w:t>
      </w:r>
      <w:r w:rsidR="00D868AE">
        <w:rPr>
          <w:rFonts w:asciiTheme="majorHAnsi" w:eastAsia="Times New Roman" w:hAnsiTheme="majorHAnsi" w:cs="Times New Roman"/>
          <w:color w:val="000000"/>
          <w:sz w:val="22"/>
          <w:szCs w:val="22"/>
          <w:lang w:eastAsia="en-AU"/>
        </w:rPr>
        <w:t xml:space="preserve"> economy and build economic resilience.</w:t>
      </w:r>
      <w:r w:rsidR="00450F27">
        <w:rPr>
          <w:rFonts w:asciiTheme="majorHAnsi" w:eastAsia="Times New Roman" w:hAnsiTheme="majorHAnsi" w:cs="Times New Roman"/>
          <w:color w:val="000000"/>
          <w:sz w:val="22"/>
          <w:szCs w:val="22"/>
          <w:lang w:eastAsia="en-AU"/>
        </w:rPr>
        <w:t xml:space="preserve">   </w:t>
      </w:r>
    </w:p>
    <w:p w:rsidR="009323AB" w:rsidRPr="00CD298F" w:rsidRDefault="009323AB" w:rsidP="009323AB">
      <w:pPr>
        <w:widowControl w:val="0"/>
        <w:suppressAutoHyphens/>
        <w:autoSpaceDE w:val="0"/>
        <w:autoSpaceDN w:val="0"/>
        <w:adjustRightInd w:val="0"/>
        <w:spacing w:after="0" w:line="300" w:lineRule="atLeast"/>
        <w:textAlignment w:val="center"/>
        <w:rPr>
          <w:rFonts w:asciiTheme="majorHAnsi" w:eastAsia="Times New Roman" w:hAnsiTheme="majorHAnsi" w:cs="Times New Roman"/>
          <w:color w:val="000000"/>
          <w:sz w:val="22"/>
          <w:lang w:eastAsia="en-AU"/>
        </w:rPr>
      </w:pPr>
      <w:r w:rsidRPr="00D96651">
        <w:rPr>
          <w:rFonts w:asciiTheme="majorHAnsi" w:eastAsia="Times New Roman" w:hAnsiTheme="majorHAnsi" w:cs="Times New Roman"/>
          <w:b/>
          <w:color w:val="000000"/>
          <w:sz w:val="22"/>
          <w:lang w:eastAsia="en-AU"/>
        </w:rPr>
        <w:t>Chapter 6</w:t>
      </w:r>
      <w:r>
        <w:rPr>
          <w:rFonts w:asciiTheme="majorHAnsi" w:eastAsia="Times New Roman" w:hAnsiTheme="majorHAnsi" w:cs="Times New Roman"/>
          <w:color w:val="000000"/>
          <w:sz w:val="22"/>
          <w:lang w:eastAsia="en-AU"/>
        </w:rPr>
        <w:t xml:space="preserve"> relates to Housing and Settlement and t</w:t>
      </w:r>
      <w:r w:rsidRPr="00CD298F">
        <w:rPr>
          <w:rFonts w:asciiTheme="majorHAnsi" w:eastAsia="Times New Roman" w:hAnsiTheme="majorHAnsi" w:cs="Times New Roman"/>
          <w:color w:val="000000"/>
          <w:sz w:val="22"/>
          <w:lang w:eastAsia="en-AU"/>
        </w:rPr>
        <w:t>he objectives state:</w:t>
      </w:r>
    </w:p>
    <w:p w:rsidR="009323AB" w:rsidRPr="00CD298F" w:rsidRDefault="009323AB" w:rsidP="004533EE">
      <w:pPr>
        <w:pStyle w:val="ListParagraph"/>
        <w:widowControl w:val="0"/>
        <w:numPr>
          <w:ilvl w:val="0"/>
          <w:numId w:val="40"/>
        </w:numPr>
        <w:suppressAutoHyphens/>
        <w:autoSpaceDE w:val="0"/>
        <w:autoSpaceDN w:val="0"/>
        <w:adjustRightInd w:val="0"/>
        <w:spacing w:before="120" w:after="0" w:line="300" w:lineRule="atLeast"/>
        <w:ind w:left="714" w:hanging="357"/>
        <w:textAlignment w:val="center"/>
        <w:rPr>
          <w:rFonts w:asciiTheme="majorHAnsi" w:eastAsia="Times New Roman" w:hAnsiTheme="majorHAnsi" w:cs="Times New Roman"/>
          <w:i/>
          <w:color w:val="000000"/>
          <w:sz w:val="22"/>
          <w:lang w:eastAsia="en-AU"/>
        </w:rPr>
      </w:pPr>
      <w:r w:rsidRPr="00CD298F">
        <w:rPr>
          <w:rFonts w:asciiTheme="majorHAnsi" w:eastAsia="Times New Roman" w:hAnsiTheme="majorHAnsi" w:cs="Times New Roman"/>
          <w:i/>
          <w:color w:val="000000"/>
          <w:sz w:val="22"/>
          <w:lang w:eastAsia="en-AU"/>
        </w:rPr>
        <w:t>Ensure an adequate supply of housing to meet community needs;</w:t>
      </w:r>
    </w:p>
    <w:p w:rsidR="009323AB" w:rsidRPr="00CD298F" w:rsidRDefault="009323AB" w:rsidP="009323AB">
      <w:pPr>
        <w:pStyle w:val="ListParagraph"/>
        <w:widowControl w:val="0"/>
        <w:numPr>
          <w:ilvl w:val="0"/>
          <w:numId w:val="40"/>
        </w:numPr>
        <w:suppressAutoHyphens/>
        <w:autoSpaceDE w:val="0"/>
        <w:autoSpaceDN w:val="0"/>
        <w:adjustRightInd w:val="0"/>
        <w:spacing w:after="0" w:line="300" w:lineRule="atLeast"/>
        <w:textAlignment w:val="center"/>
        <w:rPr>
          <w:rFonts w:asciiTheme="majorHAnsi" w:eastAsia="Times New Roman" w:hAnsiTheme="majorHAnsi" w:cs="Times New Roman"/>
          <w:i/>
          <w:color w:val="000000"/>
          <w:sz w:val="22"/>
          <w:lang w:eastAsia="en-AU"/>
        </w:rPr>
      </w:pPr>
      <w:r w:rsidRPr="00CD298F">
        <w:rPr>
          <w:rFonts w:asciiTheme="majorHAnsi" w:eastAsia="Times New Roman" w:hAnsiTheme="majorHAnsi" w:cs="Times New Roman"/>
          <w:i/>
          <w:color w:val="000000"/>
          <w:sz w:val="22"/>
          <w:lang w:eastAsia="en-AU"/>
        </w:rPr>
        <w:t>Ensure a greater diversity of housing types, including smaller housing types, rental housing and temporary housing;</w:t>
      </w:r>
    </w:p>
    <w:p w:rsidR="009323AB" w:rsidRPr="00CD298F" w:rsidRDefault="009323AB" w:rsidP="009323AB">
      <w:pPr>
        <w:pStyle w:val="ListParagraph"/>
        <w:widowControl w:val="0"/>
        <w:numPr>
          <w:ilvl w:val="0"/>
          <w:numId w:val="40"/>
        </w:numPr>
        <w:suppressAutoHyphens/>
        <w:autoSpaceDE w:val="0"/>
        <w:autoSpaceDN w:val="0"/>
        <w:adjustRightInd w:val="0"/>
        <w:spacing w:after="0" w:line="300" w:lineRule="atLeast"/>
        <w:textAlignment w:val="center"/>
        <w:rPr>
          <w:rFonts w:asciiTheme="majorHAnsi" w:eastAsia="Times New Roman" w:hAnsiTheme="majorHAnsi" w:cs="Times New Roman"/>
          <w:i/>
          <w:color w:val="000000"/>
          <w:sz w:val="22"/>
          <w:lang w:eastAsia="en-AU"/>
        </w:rPr>
      </w:pPr>
      <w:r w:rsidRPr="00CD298F">
        <w:rPr>
          <w:rFonts w:asciiTheme="majorHAnsi" w:eastAsia="Times New Roman" w:hAnsiTheme="majorHAnsi" w:cs="Times New Roman"/>
          <w:i/>
          <w:color w:val="000000"/>
          <w:sz w:val="22"/>
          <w:lang w:eastAsia="en-AU"/>
        </w:rPr>
        <w:t>Improve the supply and range of affordable housing;</w:t>
      </w:r>
    </w:p>
    <w:p w:rsidR="00D81283" w:rsidRDefault="009323AB">
      <w:pPr>
        <w:pStyle w:val="ListParagraph"/>
        <w:widowControl w:val="0"/>
        <w:numPr>
          <w:ilvl w:val="0"/>
          <w:numId w:val="40"/>
        </w:numPr>
        <w:suppressAutoHyphens/>
        <w:autoSpaceDE w:val="0"/>
        <w:autoSpaceDN w:val="0"/>
        <w:adjustRightInd w:val="0"/>
        <w:spacing w:after="0" w:line="300" w:lineRule="atLeast"/>
        <w:textAlignment w:val="center"/>
        <w:rPr>
          <w:rFonts w:asciiTheme="majorHAnsi" w:eastAsia="Times New Roman" w:hAnsiTheme="majorHAnsi" w:cs="Times New Roman"/>
          <w:i/>
          <w:color w:val="000000"/>
          <w:sz w:val="22"/>
          <w:lang w:eastAsia="en-AU"/>
        </w:rPr>
      </w:pPr>
      <w:r w:rsidRPr="00CD298F">
        <w:rPr>
          <w:rFonts w:asciiTheme="majorHAnsi" w:eastAsia="Times New Roman" w:hAnsiTheme="majorHAnsi" w:cs="Times New Roman"/>
          <w:i/>
          <w:color w:val="000000"/>
          <w:sz w:val="22"/>
          <w:lang w:eastAsia="en-AU"/>
        </w:rPr>
        <w:t>Building cohesive and liveable communities by ensuring towns and villages are well designed, liveable and provide a range of housing types.</w:t>
      </w:r>
    </w:p>
    <w:p w:rsidR="009757DA" w:rsidRPr="00D21F75" w:rsidRDefault="009757DA"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t>In relation to rural residential and lifestyle housing Chapter 6 of the Plan states the following:</w:t>
      </w:r>
    </w:p>
    <w:p w:rsidR="009757DA" w:rsidRPr="0088028A" w:rsidRDefault="009757DA" w:rsidP="0088028A">
      <w:pPr>
        <w:spacing w:before="240" w:after="0" w:line="280" w:lineRule="exact"/>
        <w:contextualSpacing/>
        <w:jc w:val="both"/>
        <w:rPr>
          <w:rFonts w:asciiTheme="majorHAnsi" w:eastAsia="Times New Roman" w:hAnsiTheme="majorHAnsi" w:cs="Times New Roman"/>
          <w:color w:val="000000"/>
          <w:sz w:val="12"/>
          <w:szCs w:val="22"/>
          <w:lang w:eastAsia="en-AU"/>
        </w:rPr>
      </w:pPr>
    </w:p>
    <w:p w:rsidR="009757DA" w:rsidRPr="00D21F75" w:rsidRDefault="009757DA" w:rsidP="00D21F75">
      <w:pPr>
        <w:spacing w:before="240" w:after="240"/>
        <w:ind w:left="851" w:right="851"/>
        <w:contextualSpacing/>
        <w:jc w:val="both"/>
        <w:rPr>
          <w:rFonts w:asciiTheme="majorHAnsi" w:eastAsia="Times New Roman" w:hAnsiTheme="majorHAnsi" w:cs="Times New Roman"/>
          <w:i/>
          <w:color w:val="000000"/>
          <w:sz w:val="22"/>
          <w:szCs w:val="22"/>
          <w:lang w:eastAsia="en-AU"/>
        </w:rPr>
      </w:pPr>
      <w:r w:rsidRPr="00D21F75">
        <w:rPr>
          <w:rFonts w:asciiTheme="majorHAnsi" w:eastAsia="Times New Roman" w:hAnsiTheme="majorHAnsi" w:cs="Times New Roman"/>
          <w:i/>
          <w:color w:val="000000"/>
          <w:sz w:val="22"/>
          <w:szCs w:val="22"/>
          <w:lang w:eastAsia="en-AU"/>
        </w:rPr>
        <w:t>Rural residential and lifestyle housing is a popular housing choice throughout the region. This type of housing normally occurs around urban settlements and, if located appropriately, can contribute to the character, economy and social fabric of communities. If inappropriately located it can create problems such as land use conflict with other rural land uses, loss or alienation of valuable agricultural lands, social isolation for residents, an increase in the cost of providing local services and facilities and adversely impact on the environment. Rural residential and lifestyle housing growth should occur in close proximity to existing centres, towns and villages and is to be consistent with the settlement planning principles identified below with regard to residential lands.</w:t>
      </w:r>
    </w:p>
    <w:p w:rsidR="00AD5BCF" w:rsidRDefault="00AD5BCF"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r w:rsidRPr="00D21F75">
        <w:rPr>
          <w:rFonts w:asciiTheme="majorHAnsi" w:eastAsia="Times New Roman" w:hAnsiTheme="majorHAnsi" w:cs="Times New Roman"/>
          <w:color w:val="000000"/>
          <w:sz w:val="22"/>
          <w:szCs w:val="22"/>
          <w:lang w:eastAsia="en-AU"/>
        </w:rPr>
        <w:lastRenderedPageBreak/>
        <w:t xml:space="preserve">Consideration has also been given to the </w:t>
      </w:r>
      <w:r w:rsidR="006C7B49">
        <w:rPr>
          <w:rFonts w:asciiTheme="majorHAnsi" w:eastAsia="Times New Roman" w:hAnsiTheme="majorHAnsi" w:cs="Times New Roman"/>
          <w:color w:val="000000"/>
          <w:sz w:val="22"/>
          <w:szCs w:val="22"/>
          <w:lang w:eastAsia="en-AU"/>
        </w:rPr>
        <w:t>Planning Proposal</w:t>
      </w:r>
      <w:r w:rsidRPr="00D21F75">
        <w:rPr>
          <w:rFonts w:asciiTheme="majorHAnsi" w:eastAsia="Times New Roman" w:hAnsiTheme="majorHAnsi" w:cs="Times New Roman"/>
          <w:color w:val="000000"/>
          <w:sz w:val="22"/>
          <w:szCs w:val="22"/>
          <w:lang w:eastAsia="en-AU"/>
        </w:rPr>
        <w:t xml:space="preserve">’s consistency with the Settlement Planning Principles within the </w:t>
      </w:r>
      <w:r w:rsidR="004C1D59" w:rsidRPr="00D21F75">
        <w:rPr>
          <w:rFonts w:asciiTheme="majorHAnsi" w:eastAsia="Times New Roman" w:hAnsiTheme="majorHAnsi" w:cs="Times New Roman"/>
          <w:color w:val="000000"/>
          <w:sz w:val="22"/>
          <w:szCs w:val="22"/>
          <w:lang w:eastAsia="en-AU"/>
        </w:rPr>
        <w:t>UHSRLUP</w:t>
      </w:r>
      <w:r w:rsidRPr="00D21F75">
        <w:rPr>
          <w:rFonts w:asciiTheme="majorHAnsi" w:eastAsia="Times New Roman" w:hAnsiTheme="majorHAnsi" w:cs="Times New Roman"/>
          <w:color w:val="000000"/>
          <w:sz w:val="22"/>
          <w:szCs w:val="22"/>
          <w:lang w:eastAsia="en-AU"/>
        </w:rPr>
        <w:t xml:space="preserve">, as detailed in </w:t>
      </w:r>
      <w:r w:rsidRPr="00D21F75">
        <w:rPr>
          <w:rFonts w:asciiTheme="majorHAnsi" w:eastAsia="Times New Roman" w:hAnsiTheme="majorHAnsi" w:cs="Times New Roman"/>
          <w:b/>
          <w:color w:val="000000"/>
          <w:sz w:val="22"/>
          <w:szCs w:val="22"/>
          <w:lang w:eastAsia="en-AU"/>
        </w:rPr>
        <w:t xml:space="preserve">Table </w:t>
      </w:r>
      <w:r w:rsidR="00733F2A" w:rsidRPr="00D21F75">
        <w:rPr>
          <w:rFonts w:asciiTheme="majorHAnsi" w:eastAsia="Times New Roman" w:hAnsiTheme="majorHAnsi" w:cs="Times New Roman"/>
          <w:b/>
          <w:color w:val="000000"/>
          <w:sz w:val="22"/>
          <w:szCs w:val="22"/>
          <w:lang w:eastAsia="en-AU"/>
        </w:rPr>
        <w:t>2</w:t>
      </w:r>
      <w:r w:rsidRPr="00D21F75">
        <w:rPr>
          <w:rFonts w:asciiTheme="majorHAnsi" w:eastAsia="Times New Roman" w:hAnsiTheme="majorHAnsi" w:cs="Times New Roman"/>
          <w:color w:val="000000"/>
          <w:sz w:val="22"/>
          <w:szCs w:val="22"/>
          <w:lang w:eastAsia="en-AU"/>
        </w:rPr>
        <w:t xml:space="preserve"> below</w:t>
      </w:r>
      <w:r w:rsidR="00D96651">
        <w:rPr>
          <w:rFonts w:asciiTheme="majorHAnsi" w:eastAsia="Times New Roman" w:hAnsiTheme="majorHAnsi" w:cs="Times New Roman"/>
          <w:color w:val="000000"/>
          <w:sz w:val="22"/>
          <w:szCs w:val="22"/>
          <w:lang w:eastAsia="en-AU"/>
        </w:rPr>
        <w:t xml:space="preserve">.  The comments in Table 2 below reference the </w:t>
      </w:r>
      <w:r w:rsidR="00CA65AC">
        <w:rPr>
          <w:rFonts w:asciiTheme="majorHAnsi" w:eastAsia="Times New Roman" w:hAnsiTheme="majorHAnsi" w:cs="Times New Roman"/>
          <w:color w:val="000000"/>
          <w:sz w:val="22"/>
          <w:szCs w:val="22"/>
          <w:lang w:eastAsia="en-AU"/>
        </w:rPr>
        <w:t>findings that</w:t>
      </w:r>
      <w:r w:rsidR="00D96651">
        <w:rPr>
          <w:rFonts w:asciiTheme="majorHAnsi" w:eastAsia="Times New Roman" w:hAnsiTheme="majorHAnsi" w:cs="Times New Roman"/>
          <w:color w:val="000000"/>
          <w:sz w:val="22"/>
          <w:szCs w:val="22"/>
          <w:lang w:eastAsia="en-AU"/>
        </w:rPr>
        <w:t xml:space="preserve"> are included in the Council adopted MRRRS.  </w:t>
      </w:r>
    </w:p>
    <w:p w:rsidR="002626A8" w:rsidRPr="00D21F75" w:rsidRDefault="002626A8" w:rsidP="00C5403F">
      <w:pPr>
        <w:spacing w:before="240" w:after="240" w:line="280" w:lineRule="exact"/>
        <w:contextualSpacing/>
        <w:jc w:val="both"/>
        <w:rPr>
          <w:rFonts w:asciiTheme="majorHAnsi" w:eastAsia="Times New Roman" w:hAnsiTheme="majorHAnsi" w:cs="Times New Roman"/>
          <w:color w:val="000000"/>
          <w:sz w:val="22"/>
          <w:szCs w:val="22"/>
          <w:lang w:eastAsia="en-AU"/>
        </w:rPr>
      </w:pPr>
    </w:p>
    <w:p w:rsidR="008F2EBB" w:rsidRPr="00D21F75" w:rsidRDefault="00733F2A" w:rsidP="0088028A">
      <w:pPr>
        <w:spacing w:before="120" w:after="120" w:line="280" w:lineRule="exact"/>
        <w:jc w:val="both"/>
        <w:rPr>
          <w:rFonts w:asciiTheme="majorHAnsi" w:eastAsia="Times New Roman" w:hAnsiTheme="majorHAnsi" w:cs="Times New Roman"/>
          <w:i/>
          <w:color w:val="000000"/>
          <w:sz w:val="20"/>
          <w:szCs w:val="22"/>
          <w:lang w:eastAsia="en-AU"/>
        </w:rPr>
      </w:pPr>
      <w:r w:rsidRPr="00D21F75">
        <w:rPr>
          <w:rFonts w:asciiTheme="majorHAnsi" w:eastAsia="Times New Roman" w:hAnsiTheme="majorHAnsi" w:cs="Times New Roman"/>
          <w:b/>
          <w:bCs/>
          <w:i/>
          <w:iCs/>
          <w:color w:val="000000"/>
          <w:sz w:val="20"/>
          <w:szCs w:val="22"/>
          <w:lang w:eastAsia="en-AU"/>
        </w:rPr>
        <w:t>Table 2</w:t>
      </w:r>
      <w:r w:rsidR="00AD5BCF" w:rsidRPr="00D21F75">
        <w:rPr>
          <w:rFonts w:asciiTheme="majorHAnsi" w:eastAsia="Times New Roman" w:hAnsiTheme="majorHAnsi" w:cs="Times New Roman"/>
          <w:b/>
          <w:bCs/>
          <w:i/>
          <w:iCs/>
          <w:color w:val="000000"/>
          <w:sz w:val="20"/>
          <w:szCs w:val="22"/>
          <w:lang w:eastAsia="en-AU"/>
        </w:rPr>
        <w:t>:</w:t>
      </w:r>
      <w:r w:rsidR="00AD5BCF" w:rsidRPr="00D21F75">
        <w:rPr>
          <w:rFonts w:asciiTheme="majorHAnsi" w:eastAsia="Times New Roman" w:hAnsiTheme="majorHAnsi" w:cs="Times New Roman"/>
          <w:i/>
          <w:color w:val="000000"/>
          <w:sz w:val="20"/>
          <w:szCs w:val="22"/>
          <w:lang w:eastAsia="en-AU"/>
        </w:rPr>
        <w:t xml:space="preserve"> The Settlement Planning Principles in the Upper Hunter Strategic Regional Land Use Plan</w:t>
      </w:r>
      <w:r w:rsidR="007C27D5" w:rsidRPr="00D21F75">
        <w:rPr>
          <w:rFonts w:asciiTheme="majorHAnsi" w:eastAsia="Times New Roman" w:hAnsiTheme="majorHAnsi" w:cs="Times New Roman"/>
          <w:i/>
          <w:color w:val="000000"/>
          <w:sz w:val="20"/>
          <w:szCs w:val="22"/>
          <w:lang w:eastAsia="en-AU"/>
        </w:rPr>
        <w:t xml:space="preserve"> 2012</w:t>
      </w:r>
    </w:p>
    <w:tbl>
      <w:tblPr>
        <w:tblW w:w="8647" w:type="dxa"/>
        <w:tblInd w:w="8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left w:w="0" w:type="dxa"/>
          <w:right w:w="0" w:type="dxa"/>
        </w:tblCellMar>
        <w:tblLook w:val="0000" w:firstRow="0" w:lastRow="0" w:firstColumn="0" w:lastColumn="0" w:noHBand="0" w:noVBand="0"/>
      </w:tblPr>
      <w:tblGrid>
        <w:gridCol w:w="2835"/>
        <w:gridCol w:w="4536"/>
        <w:gridCol w:w="1276"/>
      </w:tblGrid>
      <w:tr w:rsidR="00AD5BCF" w:rsidRPr="00D21F75" w:rsidTr="0088028A">
        <w:trPr>
          <w:trHeight w:val="349"/>
          <w:tblHeader/>
        </w:trPr>
        <w:tc>
          <w:tcPr>
            <w:tcW w:w="2835" w:type="dxa"/>
            <w:shd w:val="clear" w:color="000000" w:fill="D9D9D9" w:themeFill="background1" w:themeFillShade="D9"/>
            <w:tcMar>
              <w:top w:w="113" w:type="dxa"/>
              <w:left w:w="85" w:type="dxa"/>
              <w:bottom w:w="113" w:type="dxa"/>
              <w:right w:w="85" w:type="dxa"/>
            </w:tcMar>
            <w:vAlign w:val="center"/>
          </w:tcPr>
          <w:p w:rsidR="00AD5BCF" w:rsidRPr="00D21F75" w:rsidRDefault="00AD5BCF" w:rsidP="00D21F75">
            <w:pPr>
              <w:spacing w:after="0"/>
              <w:rPr>
                <w:rFonts w:asciiTheme="majorHAnsi" w:hAnsiTheme="majorHAnsi"/>
                <w:b/>
                <w:caps/>
                <w:sz w:val="18"/>
              </w:rPr>
            </w:pPr>
            <w:r w:rsidRPr="00D21F75">
              <w:rPr>
                <w:rFonts w:asciiTheme="majorHAnsi" w:hAnsiTheme="majorHAnsi"/>
                <w:b/>
                <w:caps/>
                <w:sz w:val="18"/>
              </w:rPr>
              <w:t>Settlement Planning Principle</w:t>
            </w:r>
          </w:p>
        </w:tc>
        <w:tc>
          <w:tcPr>
            <w:tcW w:w="4536" w:type="dxa"/>
            <w:shd w:val="clear" w:color="000000" w:fill="D9D9D9" w:themeFill="background1" w:themeFillShade="D9"/>
            <w:tcMar>
              <w:top w:w="113" w:type="dxa"/>
              <w:left w:w="85" w:type="dxa"/>
              <w:bottom w:w="113" w:type="dxa"/>
              <w:right w:w="85" w:type="dxa"/>
            </w:tcMar>
            <w:vAlign w:val="center"/>
          </w:tcPr>
          <w:p w:rsidR="00AD5BCF" w:rsidRPr="00D21F75" w:rsidRDefault="00AD5BCF" w:rsidP="00D21F75">
            <w:pPr>
              <w:spacing w:after="0"/>
              <w:rPr>
                <w:rFonts w:asciiTheme="majorHAnsi" w:hAnsiTheme="majorHAnsi"/>
                <w:b/>
                <w:caps/>
                <w:sz w:val="18"/>
              </w:rPr>
            </w:pPr>
            <w:r w:rsidRPr="00D21F75">
              <w:rPr>
                <w:rFonts w:asciiTheme="majorHAnsi" w:hAnsiTheme="majorHAnsi"/>
                <w:b/>
                <w:caps/>
                <w:sz w:val="18"/>
              </w:rPr>
              <w:t>Comment</w:t>
            </w:r>
          </w:p>
        </w:tc>
        <w:tc>
          <w:tcPr>
            <w:tcW w:w="1276" w:type="dxa"/>
            <w:shd w:val="clear" w:color="000000" w:fill="D9D9D9" w:themeFill="background1" w:themeFillShade="D9"/>
            <w:tcMar>
              <w:top w:w="113" w:type="dxa"/>
              <w:left w:w="85" w:type="dxa"/>
              <w:bottom w:w="113" w:type="dxa"/>
              <w:right w:w="85" w:type="dxa"/>
            </w:tcMar>
            <w:vAlign w:val="center"/>
          </w:tcPr>
          <w:p w:rsidR="00AD5BCF" w:rsidRPr="00D21F75" w:rsidRDefault="00AD5BCF" w:rsidP="00D21F75">
            <w:pPr>
              <w:spacing w:after="0"/>
              <w:rPr>
                <w:rFonts w:asciiTheme="majorHAnsi" w:hAnsiTheme="majorHAnsi"/>
                <w:b/>
                <w:caps/>
                <w:sz w:val="18"/>
              </w:rPr>
            </w:pPr>
            <w:r w:rsidRPr="00D21F75">
              <w:rPr>
                <w:rFonts w:asciiTheme="majorHAnsi" w:hAnsiTheme="majorHAnsi"/>
                <w:b/>
                <w:caps/>
                <w:sz w:val="18"/>
              </w:rPr>
              <w:t>Compliance</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Development will contribute to the diversity of housing types available. Any medium or higher density housing should be located in central and accessible locations to ensure access to a full range of services within a reasonable walking distance.</w:t>
            </w:r>
          </w:p>
        </w:tc>
        <w:tc>
          <w:tcPr>
            <w:tcW w:w="4536" w:type="dxa"/>
            <w:tcMar>
              <w:top w:w="113" w:type="dxa"/>
              <w:left w:w="85" w:type="dxa"/>
              <w:bottom w:w="113" w:type="dxa"/>
              <w:right w:w="85" w:type="dxa"/>
            </w:tcMar>
          </w:tcPr>
          <w:p w:rsidR="00AD5BCF" w:rsidRPr="00D21F75" w:rsidRDefault="00AD5BCF" w:rsidP="00950E17">
            <w:pPr>
              <w:spacing w:after="0"/>
              <w:rPr>
                <w:rFonts w:asciiTheme="majorHAnsi" w:hAnsiTheme="majorHAnsi"/>
                <w:sz w:val="18"/>
              </w:rPr>
            </w:pPr>
            <w:r w:rsidRPr="00D21F75">
              <w:rPr>
                <w:rFonts w:asciiTheme="majorHAnsi" w:hAnsiTheme="majorHAnsi"/>
                <w:sz w:val="18"/>
              </w:rPr>
              <w:t>The MRRRS highlights there is currently no new rural residential land available for sale in Denman and support for the rezoning of Weabron will improve the diversity of housing choices for Denman</w:t>
            </w:r>
            <w:r w:rsidR="00950E17" w:rsidRPr="00D21F75">
              <w:rPr>
                <w:rFonts w:asciiTheme="majorHAnsi" w:hAnsiTheme="majorHAnsi"/>
                <w:sz w:val="18"/>
              </w:rPr>
              <w:t xml:space="preserve">. </w:t>
            </w:r>
            <w:r w:rsidR="00470573">
              <w:rPr>
                <w:rFonts w:asciiTheme="majorHAnsi" w:hAnsiTheme="majorHAnsi"/>
                <w:sz w:val="18"/>
              </w:rPr>
              <w:t>The</w:t>
            </w:r>
            <w:r w:rsidR="00DD2FB7" w:rsidRPr="00D21F75">
              <w:rPr>
                <w:rFonts w:asciiTheme="majorHAnsi" w:hAnsiTheme="majorHAnsi"/>
                <w:sz w:val="18"/>
              </w:rPr>
              <w:t xml:space="preserve"> site is located on the edge of the existing Denman Village with all local services within walking distance. </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Development will be located to maximise the efficiency of essential urban infrastructure, services and facilities, including transport, health and education</w:t>
            </w:r>
          </w:p>
        </w:tc>
        <w:tc>
          <w:tcPr>
            <w:tcW w:w="4536" w:type="dxa"/>
            <w:tcMar>
              <w:top w:w="113" w:type="dxa"/>
              <w:left w:w="85" w:type="dxa"/>
              <w:bottom w:w="113" w:type="dxa"/>
              <w:right w:w="85" w:type="dxa"/>
            </w:tcMar>
          </w:tcPr>
          <w:p w:rsidR="00AD5BCF" w:rsidRPr="00D21F75" w:rsidRDefault="00AD5BCF" w:rsidP="008B3B98">
            <w:pPr>
              <w:spacing w:after="0"/>
              <w:rPr>
                <w:rFonts w:asciiTheme="majorHAnsi" w:hAnsiTheme="majorHAnsi"/>
                <w:sz w:val="18"/>
              </w:rPr>
            </w:pPr>
            <w:r w:rsidRPr="00D21F75">
              <w:rPr>
                <w:rFonts w:asciiTheme="majorHAnsi" w:hAnsiTheme="majorHAnsi"/>
                <w:sz w:val="18"/>
              </w:rPr>
              <w:t>The MRRRS identifies the Waebron site as the preferred sequenced candidate area for Denman and clearly states there are no infrastruct</w:t>
            </w:r>
            <w:r w:rsidR="008F2EBB" w:rsidRPr="00D21F75">
              <w:rPr>
                <w:rFonts w:asciiTheme="majorHAnsi" w:hAnsiTheme="majorHAnsi"/>
                <w:sz w:val="18"/>
              </w:rPr>
              <w:t>ure impediments to development.</w:t>
            </w:r>
            <w:r w:rsidR="000C3254" w:rsidRPr="00D21F75">
              <w:rPr>
                <w:rFonts w:asciiTheme="majorHAnsi" w:hAnsiTheme="majorHAnsi"/>
                <w:sz w:val="18"/>
              </w:rPr>
              <w:t xml:space="preserve"> </w:t>
            </w:r>
            <w:r w:rsidR="006119D7">
              <w:rPr>
                <w:rFonts w:asciiTheme="majorHAnsi" w:hAnsiTheme="majorHAnsi"/>
                <w:sz w:val="18"/>
              </w:rPr>
              <w:t xml:space="preserve">The Engineering Services Report provided in </w:t>
            </w:r>
            <w:r w:rsidR="006119D7" w:rsidRPr="005F7C8D">
              <w:rPr>
                <w:rFonts w:asciiTheme="majorHAnsi" w:hAnsiTheme="majorHAnsi"/>
                <w:b/>
                <w:sz w:val="18"/>
              </w:rPr>
              <w:t xml:space="preserve">Appendix </w:t>
            </w:r>
            <w:r w:rsidR="008B3B98" w:rsidRPr="005F7C8D">
              <w:rPr>
                <w:rFonts w:asciiTheme="majorHAnsi" w:hAnsiTheme="majorHAnsi"/>
                <w:b/>
                <w:sz w:val="18"/>
              </w:rPr>
              <w:t>4</w:t>
            </w:r>
            <w:r w:rsidR="006119D7">
              <w:rPr>
                <w:rFonts w:asciiTheme="majorHAnsi" w:hAnsiTheme="majorHAnsi"/>
                <w:sz w:val="18"/>
              </w:rPr>
              <w:t xml:space="preserve"> confirms this position.  </w:t>
            </w:r>
            <w:r w:rsidR="000C3254" w:rsidRPr="00D21F75">
              <w:rPr>
                <w:rFonts w:asciiTheme="majorHAnsi" w:hAnsiTheme="majorHAnsi"/>
                <w:sz w:val="18"/>
              </w:rPr>
              <w:t>The site is strategically positioned on the edge of Denman township close to all existing services. Consideration of services availability within the MRRRS (see MRRRS Appendix 4) identified no constraints for Waebron.  For water an extension of the existing service is required</w:t>
            </w:r>
            <w:r w:rsidR="00D21F75">
              <w:rPr>
                <w:rFonts w:asciiTheme="majorHAnsi" w:hAnsiTheme="majorHAnsi"/>
                <w:sz w:val="18"/>
              </w:rPr>
              <w:t xml:space="preserve">. </w:t>
            </w:r>
            <w:r w:rsidR="000C3254" w:rsidRPr="00D21F75">
              <w:rPr>
                <w:rFonts w:asciiTheme="majorHAnsi" w:hAnsiTheme="majorHAnsi"/>
                <w:sz w:val="18"/>
              </w:rPr>
              <w:t xml:space="preserve">For sewer, connection to the existing network is available, although not necessarily required. For roads an extension of the local road network would be provided </w:t>
            </w:r>
            <w:r w:rsidR="00DD2FB7" w:rsidRPr="00D21F75">
              <w:rPr>
                <w:rFonts w:asciiTheme="majorHAnsi" w:hAnsiTheme="majorHAnsi"/>
                <w:sz w:val="18"/>
              </w:rPr>
              <w:t>to access the development. For s</w:t>
            </w:r>
            <w:r w:rsidR="000C3254" w:rsidRPr="00D21F75">
              <w:rPr>
                <w:rFonts w:asciiTheme="majorHAnsi" w:hAnsiTheme="majorHAnsi"/>
                <w:sz w:val="18"/>
              </w:rPr>
              <w:t>tormwater a detailed design will be undertaken at the future development stage, which would ensure no localised flooding im</w:t>
            </w:r>
            <w:r w:rsidR="00DD2FB7" w:rsidRPr="00D21F75">
              <w:rPr>
                <w:rFonts w:asciiTheme="majorHAnsi" w:hAnsiTheme="majorHAnsi"/>
                <w:sz w:val="18"/>
              </w:rPr>
              <w:t xml:space="preserve">pacts. Being </w:t>
            </w:r>
            <w:r w:rsidRPr="00D21F75">
              <w:rPr>
                <w:rFonts w:asciiTheme="majorHAnsi" w:hAnsiTheme="majorHAnsi"/>
                <w:sz w:val="18"/>
              </w:rPr>
              <w:t xml:space="preserve">located on the edge of the existing village </w:t>
            </w:r>
            <w:r w:rsidR="00DD2FB7" w:rsidRPr="00D21F75">
              <w:rPr>
                <w:rFonts w:asciiTheme="majorHAnsi" w:hAnsiTheme="majorHAnsi"/>
                <w:sz w:val="18"/>
              </w:rPr>
              <w:t>the site</w:t>
            </w:r>
            <w:r w:rsidRPr="00D21F75">
              <w:rPr>
                <w:rFonts w:asciiTheme="majorHAnsi" w:hAnsiTheme="majorHAnsi"/>
                <w:sz w:val="18"/>
              </w:rPr>
              <w:t xml:space="preserve"> has good access to the existing town centre and the education and health facilities contained therein. </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Development will respect and respond to the character of the area and the identified settlement hierarchy of the region.</w:t>
            </w:r>
          </w:p>
        </w:tc>
        <w:tc>
          <w:tcPr>
            <w:tcW w:w="4536" w:type="dxa"/>
            <w:tcMar>
              <w:top w:w="113" w:type="dxa"/>
              <w:left w:w="85" w:type="dxa"/>
              <w:bottom w:w="113" w:type="dxa"/>
              <w:right w:w="85" w:type="dxa"/>
            </w:tcMar>
          </w:tcPr>
          <w:p w:rsidR="00AD5BCF" w:rsidRPr="00D21F75" w:rsidRDefault="00AD5BCF" w:rsidP="002626A8">
            <w:pPr>
              <w:spacing w:after="0"/>
              <w:rPr>
                <w:rFonts w:asciiTheme="majorHAnsi" w:hAnsiTheme="majorHAnsi"/>
                <w:spacing w:val="-3"/>
                <w:sz w:val="18"/>
              </w:rPr>
            </w:pPr>
            <w:r w:rsidRPr="00D21F75">
              <w:rPr>
                <w:rFonts w:asciiTheme="majorHAnsi" w:hAnsiTheme="majorHAnsi"/>
                <w:spacing w:val="-3"/>
                <w:sz w:val="18"/>
              </w:rPr>
              <w:t xml:space="preserve">The MRRRS has nominated </w:t>
            </w:r>
            <w:r w:rsidR="00DD2FB7" w:rsidRPr="00D21F75">
              <w:rPr>
                <w:rFonts w:asciiTheme="majorHAnsi" w:hAnsiTheme="majorHAnsi"/>
                <w:spacing w:val="-3"/>
                <w:sz w:val="18"/>
              </w:rPr>
              <w:t>Waebron</w:t>
            </w:r>
            <w:r w:rsidRPr="00D21F75">
              <w:rPr>
                <w:rFonts w:asciiTheme="majorHAnsi" w:hAnsiTheme="majorHAnsi"/>
                <w:spacing w:val="-3"/>
                <w:sz w:val="18"/>
              </w:rPr>
              <w:t xml:space="preserve"> as the preferred candidate area for rural residential development in Denman and the quality of the development will respond to the unique scenic attributes of the site. </w:t>
            </w:r>
            <w:r w:rsidR="00DD2FB7" w:rsidRPr="00D21F75">
              <w:rPr>
                <w:rFonts w:asciiTheme="majorHAnsi" w:hAnsiTheme="majorHAnsi"/>
                <w:spacing w:val="-3"/>
                <w:sz w:val="18"/>
              </w:rPr>
              <w:t xml:space="preserve">The </w:t>
            </w:r>
            <w:r w:rsidR="006C7B49">
              <w:rPr>
                <w:rFonts w:asciiTheme="majorHAnsi" w:hAnsiTheme="majorHAnsi"/>
                <w:spacing w:val="-3"/>
                <w:sz w:val="18"/>
              </w:rPr>
              <w:t>Planning Proposal</w:t>
            </w:r>
            <w:r w:rsidR="002626A8">
              <w:rPr>
                <w:rFonts w:asciiTheme="majorHAnsi" w:hAnsiTheme="majorHAnsi"/>
                <w:spacing w:val="-3"/>
                <w:sz w:val="18"/>
              </w:rPr>
              <w:t xml:space="preserve"> </w:t>
            </w:r>
            <w:r w:rsidR="00DD2FB7" w:rsidRPr="00D21F75">
              <w:rPr>
                <w:rFonts w:asciiTheme="majorHAnsi" w:hAnsiTheme="majorHAnsi"/>
                <w:spacing w:val="-3"/>
                <w:sz w:val="18"/>
              </w:rPr>
              <w:t xml:space="preserve">seeks to provide </w:t>
            </w:r>
            <w:r w:rsidR="00BA7A84" w:rsidRPr="00D21F75">
              <w:rPr>
                <w:rFonts w:asciiTheme="majorHAnsi" w:hAnsiTheme="majorHAnsi"/>
                <w:spacing w:val="-3"/>
                <w:sz w:val="18"/>
              </w:rPr>
              <w:t>a</w:t>
            </w:r>
            <w:r w:rsidR="00DD2FB7" w:rsidRPr="00D21F75">
              <w:rPr>
                <w:rFonts w:asciiTheme="majorHAnsi" w:hAnsiTheme="majorHAnsi"/>
                <w:spacing w:val="-3"/>
                <w:sz w:val="18"/>
              </w:rPr>
              <w:t xml:space="preserve"> unique large lot residential living estate associated with the award winning Two Rivers vineyard and tourism operation. This type of residential land is not currently available in Denman as highlighted in the MRRRS, and is not foreshadowed in any future release areas. The land is relatively constraint free and is in close proximity to services and can be developed in a timely manner.</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New residential areas will be planned with streets that make it easy for people to walk and cycle and with recreational and open space.</w:t>
            </w:r>
          </w:p>
        </w:tc>
        <w:tc>
          <w:tcPr>
            <w:tcW w:w="4536" w:type="dxa"/>
            <w:tcMar>
              <w:top w:w="113" w:type="dxa"/>
              <w:left w:w="85" w:type="dxa"/>
              <w:bottom w:w="113" w:type="dxa"/>
              <w:right w:w="85" w:type="dxa"/>
            </w:tcMar>
          </w:tcPr>
          <w:p w:rsidR="00AD5BCF" w:rsidRPr="00D21F75" w:rsidRDefault="00AD5BCF" w:rsidP="002626A8">
            <w:pPr>
              <w:spacing w:after="0"/>
              <w:rPr>
                <w:rFonts w:asciiTheme="majorHAnsi" w:hAnsiTheme="majorHAnsi"/>
                <w:sz w:val="18"/>
              </w:rPr>
            </w:pPr>
            <w:r w:rsidRPr="00D21F75">
              <w:rPr>
                <w:rFonts w:asciiTheme="majorHAnsi" w:hAnsiTheme="majorHAnsi"/>
                <w:sz w:val="18"/>
              </w:rPr>
              <w:t>Suitable consideration will be given to the provision of open space and recreation at development design stage</w:t>
            </w:r>
            <w:r w:rsidR="004C1D59" w:rsidRPr="00D21F75">
              <w:rPr>
                <w:rFonts w:asciiTheme="majorHAnsi" w:hAnsiTheme="majorHAnsi"/>
                <w:sz w:val="18"/>
              </w:rPr>
              <w:t xml:space="preserve">, including the potential of the site to be involved in the Muswellbrook </w:t>
            </w:r>
            <w:r w:rsidR="002626A8">
              <w:rPr>
                <w:rFonts w:asciiTheme="majorHAnsi" w:hAnsiTheme="majorHAnsi"/>
                <w:sz w:val="18"/>
              </w:rPr>
              <w:t xml:space="preserve">Shire </w:t>
            </w:r>
            <w:r w:rsidR="004C1D59" w:rsidRPr="00D21F75">
              <w:rPr>
                <w:rFonts w:asciiTheme="majorHAnsi" w:hAnsiTheme="majorHAnsi"/>
                <w:sz w:val="18"/>
              </w:rPr>
              <w:t>Council</w:t>
            </w:r>
            <w:r w:rsidR="002626A8">
              <w:rPr>
                <w:rFonts w:asciiTheme="majorHAnsi" w:hAnsiTheme="majorHAnsi"/>
                <w:sz w:val="18"/>
              </w:rPr>
              <w:t>’s</w:t>
            </w:r>
            <w:r w:rsidR="004C1D59" w:rsidRPr="00D21F75">
              <w:rPr>
                <w:rFonts w:asciiTheme="majorHAnsi" w:hAnsiTheme="majorHAnsi"/>
                <w:sz w:val="18"/>
              </w:rPr>
              <w:t xml:space="preserve"> Stepping Stones Project, which seeks to strengthen habitat connectivity enabling species movement across the Hunter Valley</w:t>
            </w:r>
            <w:r w:rsidRPr="00D21F75">
              <w:rPr>
                <w:rFonts w:asciiTheme="majorHAnsi" w:hAnsiTheme="majorHAnsi"/>
                <w:sz w:val="18"/>
              </w:rPr>
              <w:t xml:space="preserve">. </w:t>
            </w:r>
            <w:r w:rsidR="00DD2FB7" w:rsidRPr="00D21F75">
              <w:rPr>
                <w:rFonts w:asciiTheme="majorHAnsi" w:hAnsiTheme="majorHAnsi"/>
                <w:sz w:val="18"/>
              </w:rPr>
              <w:t xml:space="preserve"> The site is within walking distance of existing open space areas within Denman Village.</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 xml:space="preserve">New residential and rural residential areas will respect environmental and cultural heritage and avoid </w:t>
            </w:r>
            <w:r w:rsidRPr="00D21F75">
              <w:rPr>
                <w:rFonts w:asciiTheme="majorHAnsi" w:hAnsiTheme="majorHAnsi"/>
                <w:sz w:val="18"/>
              </w:rPr>
              <w:lastRenderedPageBreak/>
              <w:t>areas most affected by natural hazards or having high cultural significance.</w:t>
            </w:r>
          </w:p>
        </w:tc>
        <w:tc>
          <w:tcPr>
            <w:tcW w:w="4536" w:type="dxa"/>
            <w:tcMar>
              <w:top w:w="113" w:type="dxa"/>
              <w:left w:w="85" w:type="dxa"/>
              <w:bottom w:w="113" w:type="dxa"/>
              <w:right w:w="85" w:type="dxa"/>
            </w:tcMar>
          </w:tcPr>
          <w:p w:rsidR="00AD5BCF" w:rsidRPr="00D21F75" w:rsidRDefault="00DD2FB7" w:rsidP="002626A8">
            <w:pPr>
              <w:spacing w:after="0"/>
              <w:rPr>
                <w:rFonts w:asciiTheme="majorHAnsi" w:hAnsiTheme="majorHAnsi"/>
                <w:sz w:val="18"/>
              </w:rPr>
            </w:pPr>
            <w:r w:rsidRPr="00D21F75">
              <w:rPr>
                <w:rFonts w:asciiTheme="majorHAnsi" w:hAnsiTheme="majorHAnsi"/>
                <w:sz w:val="18"/>
              </w:rPr>
              <w:lastRenderedPageBreak/>
              <w:t xml:space="preserve">As highlighted in the MRRRS, the site is not identified as containing any environmental constraints in relation to ecology, bushfire or flooding. </w:t>
            </w:r>
            <w:r w:rsidR="006119D7">
              <w:rPr>
                <w:rFonts w:asciiTheme="majorHAnsi" w:hAnsiTheme="majorHAnsi"/>
                <w:sz w:val="18"/>
              </w:rPr>
              <w:t>A</w:t>
            </w:r>
            <w:r w:rsidR="002626A8">
              <w:rPr>
                <w:rFonts w:asciiTheme="majorHAnsi" w:hAnsiTheme="majorHAnsi"/>
                <w:sz w:val="18"/>
              </w:rPr>
              <w:t xml:space="preserve"> Preliminary</w:t>
            </w:r>
            <w:r w:rsidR="006119D7">
              <w:rPr>
                <w:rFonts w:asciiTheme="majorHAnsi" w:hAnsiTheme="majorHAnsi"/>
                <w:sz w:val="18"/>
              </w:rPr>
              <w:t xml:space="preserve"> Aboriginal </w:t>
            </w:r>
            <w:r w:rsidR="006119D7">
              <w:rPr>
                <w:rFonts w:asciiTheme="majorHAnsi" w:hAnsiTheme="majorHAnsi"/>
                <w:sz w:val="18"/>
              </w:rPr>
              <w:lastRenderedPageBreak/>
              <w:t>Assessment has been undertaken and is provide</w:t>
            </w:r>
            <w:r w:rsidR="009142C4">
              <w:rPr>
                <w:rFonts w:asciiTheme="majorHAnsi" w:hAnsiTheme="majorHAnsi"/>
                <w:sz w:val="18"/>
              </w:rPr>
              <w:t>d</w:t>
            </w:r>
            <w:r w:rsidR="006119D7">
              <w:rPr>
                <w:rFonts w:asciiTheme="majorHAnsi" w:hAnsiTheme="majorHAnsi"/>
                <w:sz w:val="18"/>
              </w:rPr>
              <w:t xml:space="preserve"> in </w:t>
            </w:r>
            <w:r w:rsidR="006119D7" w:rsidRPr="005F7C8D">
              <w:rPr>
                <w:rFonts w:asciiTheme="majorHAnsi" w:hAnsiTheme="majorHAnsi"/>
                <w:b/>
                <w:sz w:val="18"/>
              </w:rPr>
              <w:t xml:space="preserve">Appendix </w:t>
            </w:r>
            <w:r w:rsidR="008B3B98" w:rsidRPr="005F7C8D">
              <w:rPr>
                <w:rFonts w:asciiTheme="majorHAnsi" w:hAnsiTheme="majorHAnsi"/>
                <w:b/>
                <w:sz w:val="18"/>
              </w:rPr>
              <w:t>4</w:t>
            </w:r>
            <w:r w:rsidR="006119D7" w:rsidRPr="005F7C8D">
              <w:rPr>
                <w:rFonts w:asciiTheme="majorHAnsi" w:hAnsiTheme="majorHAnsi"/>
                <w:b/>
                <w:sz w:val="18"/>
              </w:rPr>
              <w:t>.</w:t>
            </w:r>
            <w:r w:rsidR="006119D7">
              <w:rPr>
                <w:rFonts w:asciiTheme="majorHAnsi" w:hAnsiTheme="majorHAnsi"/>
                <w:sz w:val="18"/>
              </w:rPr>
              <w:t xml:space="preserve">  The Due Diligence Assessment </w:t>
            </w:r>
            <w:r w:rsidR="009142C4">
              <w:rPr>
                <w:rFonts w:asciiTheme="majorHAnsi" w:hAnsiTheme="majorHAnsi"/>
                <w:sz w:val="18"/>
              </w:rPr>
              <w:t xml:space="preserve">identified 44 Aboriginal Artefacts on site, all of which were found in exposed areas.  The proposed rezoning will not have any impact on these items.  The Assessment recommends that prior to the commencement of any future approved development of the land further </w:t>
            </w:r>
            <w:r w:rsidR="002626A8">
              <w:rPr>
                <w:rFonts w:asciiTheme="majorHAnsi" w:hAnsiTheme="majorHAnsi"/>
                <w:sz w:val="18"/>
              </w:rPr>
              <w:t xml:space="preserve">comprehensive </w:t>
            </w:r>
            <w:r w:rsidR="009142C4">
              <w:rPr>
                <w:rFonts w:asciiTheme="majorHAnsi" w:hAnsiTheme="majorHAnsi"/>
                <w:sz w:val="18"/>
              </w:rPr>
              <w:t xml:space="preserve">archaeological assessment in accordance with OEH requirements be undertaken. </w:t>
            </w:r>
            <w:r w:rsidR="008B3B98">
              <w:rPr>
                <w:rFonts w:asciiTheme="majorHAnsi" w:hAnsiTheme="majorHAnsi"/>
                <w:sz w:val="18"/>
              </w:rPr>
              <w:t xml:space="preserve"> This approach is consistent with OEH guidelines. </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lastRenderedPageBreak/>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lastRenderedPageBreak/>
              <w:t>New residential and rural residential areas should minimise the potential for land use conflict with land needed for valuable economic activities, such as valuable agricultural lands and natural resource lands. This includes avoiding locations where possible adverse impacts associated with industry (such as noise, dust, visual impacts or other amenity impacts) are likely to affect future residents.</w:t>
            </w:r>
          </w:p>
        </w:tc>
        <w:tc>
          <w:tcPr>
            <w:tcW w:w="4536" w:type="dxa"/>
            <w:tcMar>
              <w:top w:w="113" w:type="dxa"/>
              <w:left w:w="85" w:type="dxa"/>
              <w:bottom w:w="113" w:type="dxa"/>
              <w:right w:w="85" w:type="dxa"/>
            </w:tcMar>
          </w:tcPr>
          <w:p w:rsidR="007972D1" w:rsidRPr="00D21F75" w:rsidRDefault="007972D1" w:rsidP="008F2EBB">
            <w:pPr>
              <w:spacing w:after="100"/>
              <w:rPr>
                <w:rFonts w:asciiTheme="majorHAnsi" w:hAnsiTheme="majorHAnsi"/>
                <w:sz w:val="18"/>
              </w:rPr>
            </w:pPr>
            <w:r w:rsidRPr="00D21F75">
              <w:rPr>
                <w:rFonts w:asciiTheme="majorHAnsi" w:hAnsiTheme="majorHAnsi"/>
                <w:sz w:val="18"/>
              </w:rPr>
              <w:t xml:space="preserve">The site is well positioned to avoid major land use conflicts being at the edge of the Denman Village. The LEP will be compatible with the surrounding village and rural land. The adjoining Two Rivers operation will be managed to ensure there is no potential for land use conflict between the large lot residential properties and existing vineyards. </w:t>
            </w:r>
          </w:p>
          <w:p w:rsidR="00E5116A" w:rsidRPr="00D21F75" w:rsidRDefault="007972D1" w:rsidP="008F2EBB">
            <w:pPr>
              <w:spacing w:after="100"/>
              <w:rPr>
                <w:rFonts w:asciiTheme="majorHAnsi" w:hAnsiTheme="majorHAnsi"/>
                <w:sz w:val="18"/>
              </w:rPr>
            </w:pPr>
            <w:r w:rsidRPr="00D21F75">
              <w:rPr>
                <w:rFonts w:asciiTheme="majorHAnsi" w:hAnsiTheme="majorHAnsi"/>
                <w:sz w:val="18"/>
              </w:rPr>
              <w:t xml:space="preserve">A small portion of the </w:t>
            </w:r>
            <w:r w:rsidR="00DB19B0" w:rsidRPr="00D21F75">
              <w:rPr>
                <w:rFonts w:asciiTheme="majorHAnsi" w:hAnsiTheme="majorHAnsi"/>
                <w:sz w:val="18"/>
              </w:rPr>
              <w:t xml:space="preserve">north east corner of the </w:t>
            </w:r>
            <w:r w:rsidRPr="00D21F75">
              <w:rPr>
                <w:rFonts w:asciiTheme="majorHAnsi" w:hAnsiTheme="majorHAnsi"/>
                <w:sz w:val="18"/>
              </w:rPr>
              <w:t>site (</w:t>
            </w:r>
            <w:r w:rsidR="00DB19B0" w:rsidRPr="00D21F75">
              <w:rPr>
                <w:rFonts w:asciiTheme="majorHAnsi" w:hAnsiTheme="majorHAnsi"/>
                <w:sz w:val="18"/>
              </w:rPr>
              <w:t>approximately 1000m</w:t>
            </w:r>
            <w:r w:rsidR="00DB19B0" w:rsidRPr="00D21F75">
              <w:rPr>
                <w:rFonts w:asciiTheme="majorHAnsi" w:hAnsiTheme="majorHAnsi"/>
                <w:sz w:val="18"/>
                <w:vertAlign w:val="superscript"/>
              </w:rPr>
              <w:t>2</w:t>
            </w:r>
            <w:r w:rsidRPr="00D21F75">
              <w:rPr>
                <w:rFonts w:asciiTheme="majorHAnsi" w:hAnsiTheme="majorHAnsi"/>
                <w:sz w:val="18"/>
              </w:rPr>
              <w:t xml:space="preserve">) is </w:t>
            </w:r>
            <w:r w:rsidR="00D42DBD" w:rsidRPr="00D21F75">
              <w:rPr>
                <w:rFonts w:asciiTheme="majorHAnsi" w:hAnsiTheme="majorHAnsi"/>
                <w:sz w:val="18"/>
              </w:rPr>
              <w:t>within the</w:t>
            </w:r>
            <w:r w:rsidRPr="00D21F75">
              <w:rPr>
                <w:rFonts w:asciiTheme="majorHAnsi" w:hAnsiTheme="majorHAnsi"/>
                <w:sz w:val="18"/>
              </w:rPr>
              <w:t xml:space="preserve"> </w:t>
            </w:r>
            <w:r w:rsidR="00DB19B0" w:rsidRPr="00D21F75">
              <w:rPr>
                <w:rFonts w:asciiTheme="majorHAnsi" w:hAnsiTheme="majorHAnsi"/>
                <w:sz w:val="18"/>
              </w:rPr>
              <w:t xml:space="preserve">Denman </w:t>
            </w:r>
            <w:r w:rsidRPr="00D21F75">
              <w:rPr>
                <w:rFonts w:asciiTheme="majorHAnsi" w:hAnsiTheme="majorHAnsi"/>
                <w:sz w:val="18"/>
              </w:rPr>
              <w:t>Sewer</w:t>
            </w:r>
            <w:r w:rsidR="00DB19B0" w:rsidRPr="00D21F75">
              <w:rPr>
                <w:rFonts w:asciiTheme="majorHAnsi" w:hAnsiTheme="majorHAnsi"/>
                <w:sz w:val="18"/>
              </w:rPr>
              <w:t>age</w:t>
            </w:r>
            <w:r w:rsidRPr="00D21F75">
              <w:rPr>
                <w:rFonts w:asciiTheme="majorHAnsi" w:hAnsiTheme="majorHAnsi"/>
                <w:sz w:val="18"/>
              </w:rPr>
              <w:t xml:space="preserve"> Treatment Plant </w:t>
            </w:r>
            <w:r w:rsidR="00D21F75">
              <w:rPr>
                <w:rFonts w:asciiTheme="majorHAnsi" w:hAnsiTheme="majorHAnsi"/>
                <w:sz w:val="18"/>
              </w:rPr>
              <w:t xml:space="preserve">400m </w:t>
            </w:r>
            <w:r w:rsidRPr="00D21F75">
              <w:rPr>
                <w:rFonts w:asciiTheme="majorHAnsi" w:hAnsiTheme="majorHAnsi"/>
                <w:sz w:val="18"/>
              </w:rPr>
              <w:t xml:space="preserve">buffer </w:t>
            </w:r>
            <w:r w:rsidR="00DB19B0" w:rsidRPr="00D21F75">
              <w:rPr>
                <w:rFonts w:asciiTheme="majorHAnsi" w:hAnsiTheme="majorHAnsi"/>
                <w:sz w:val="18"/>
              </w:rPr>
              <w:t>as detailed in Section</w:t>
            </w:r>
            <w:r w:rsidR="00D21F75">
              <w:rPr>
                <w:rFonts w:asciiTheme="majorHAnsi" w:hAnsiTheme="majorHAnsi"/>
                <w:sz w:val="18"/>
              </w:rPr>
              <w:t xml:space="preserve"> </w:t>
            </w:r>
            <w:r w:rsidR="00DB19B0" w:rsidRPr="00D21F75">
              <w:rPr>
                <w:rFonts w:asciiTheme="majorHAnsi" w:hAnsiTheme="majorHAnsi"/>
                <w:sz w:val="18"/>
              </w:rPr>
              <w:t>22 of Muswellbrook Shire Council Development Control Plan.  The small area of the site affected by this</w:t>
            </w:r>
            <w:r w:rsidR="004C1D59" w:rsidRPr="00D21F75">
              <w:rPr>
                <w:rFonts w:asciiTheme="majorHAnsi" w:hAnsiTheme="majorHAnsi"/>
                <w:sz w:val="18"/>
              </w:rPr>
              <w:t xml:space="preserve"> buffer</w:t>
            </w:r>
            <w:r w:rsidR="00591A94">
              <w:rPr>
                <w:rFonts w:asciiTheme="majorHAnsi" w:hAnsiTheme="majorHAnsi"/>
                <w:sz w:val="18"/>
              </w:rPr>
              <w:t xml:space="preserve"> can be omitted from containing any housing in the final subdivision layout design</w:t>
            </w:r>
            <w:r w:rsidR="00E5116A" w:rsidRPr="00D21F75">
              <w:rPr>
                <w:rFonts w:asciiTheme="majorHAnsi" w:hAnsiTheme="majorHAnsi"/>
                <w:sz w:val="18"/>
              </w:rPr>
              <w:t xml:space="preserve">.  </w:t>
            </w:r>
          </w:p>
          <w:p w:rsidR="00DD2FB7" w:rsidRPr="00D21F75" w:rsidRDefault="00DD2FB7" w:rsidP="008F2EBB">
            <w:pPr>
              <w:spacing w:after="100"/>
              <w:rPr>
                <w:rFonts w:asciiTheme="majorHAnsi" w:hAnsiTheme="majorHAnsi"/>
                <w:sz w:val="18"/>
              </w:rPr>
            </w:pPr>
            <w:r w:rsidRPr="00D21F75">
              <w:rPr>
                <w:rFonts w:asciiTheme="majorHAnsi" w:hAnsiTheme="majorHAnsi"/>
                <w:sz w:val="18"/>
              </w:rPr>
              <w:t xml:space="preserve">The site </w:t>
            </w:r>
            <w:r w:rsidR="00E5116A" w:rsidRPr="00D21F75">
              <w:rPr>
                <w:rFonts w:asciiTheme="majorHAnsi" w:hAnsiTheme="majorHAnsi"/>
                <w:sz w:val="18"/>
              </w:rPr>
              <w:t xml:space="preserve">also </w:t>
            </w:r>
            <w:r w:rsidRPr="00D21F75">
              <w:rPr>
                <w:rFonts w:asciiTheme="majorHAnsi" w:hAnsiTheme="majorHAnsi"/>
                <w:sz w:val="18"/>
              </w:rPr>
              <w:t xml:space="preserve">contains land identified in the Upper Hunter Strategic Regional Land Use Plan, as being </w:t>
            </w:r>
            <w:r w:rsidR="00E5116A" w:rsidRPr="00D21F75">
              <w:rPr>
                <w:rFonts w:asciiTheme="majorHAnsi" w:hAnsiTheme="majorHAnsi"/>
                <w:sz w:val="18"/>
              </w:rPr>
              <w:t xml:space="preserve">partially </w:t>
            </w:r>
            <w:r w:rsidRPr="00D21F75">
              <w:rPr>
                <w:rFonts w:asciiTheme="majorHAnsi" w:hAnsiTheme="majorHAnsi"/>
                <w:sz w:val="18"/>
              </w:rPr>
              <w:t xml:space="preserve">within the Critical Industry Cluster Land (Vineyards) and Critical Industry Cluster Land (Equine).  As discussed in Section 2 of this proposal the land the subject </w:t>
            </w:r>
            <w:r w:rsidR="002626A8">
              <w:rPr>
                <w:rFonts w:asciiTheme="majorHAnsi" w:hAnsiTheme="majorHAnsi"/>
                <w:sz w:val="18"/>
              </w:rPr>
              <w:t xml:space="preserve">land </w:t>
            </w:r>
            <w:r w:rsidRPr="00D21F75">
              <w:rPr>
                <w:rFonts w:asciiTheme="majorHAnsi" w:hAnsiTheme="majorHAnsi"/>
                <w:sz w:val="18"/>
              </w:rPr>
              <w:t xml:space="preserve">contains soil of low fertility and minimal rural land capability. </w:t>
            </w:r>
            <w:r w:rsidR="00E5116A" w:rsidRPr="00D21F75">
              <w:rPr>
                <w:rFonts w:asciiTheme="majorHAnsi" w:hAnsiTheme="majorHAnsi"/>
                <w:sz w:val="18"/>
              </w:rPr>
              <w:t>Waebron</w:t>
            </w:r>
            <w:r w:rsidRPr="00D21F75">
              <w:rPr>
                <w:rFonts w:asciiTheme="majorHAnsi" w:hAnsiTheme="majorHAnsi"/>
                <w:sz w:val="18"/>
              </w:rPr>
              <w:t xml:space="preserve"> adjoins the more fertile soil that comprises the Two Rivers Vineyard and there will no change to the viticultural pro</w:t>
            </w:r>
            <w:r w:rsidR="008F2EBB" w:rsidRPr="00D21F75">
              <w:rPr>
                <w:rFonts w:asciiTheme="majorHAnsi" w:hAnsiTheme="majorHAnsi"/>
                <w:sz w:val="18"/>
              </w:rPr>
              <w:t>duction of the adjoining land. T</w:t>
            </w:r>
            <w:r w:rsidRPr="00D21F75">
              <w:rPr>
                <w:rFonts w:asciiTheme="majorHAnsi" w:hAnsiTheme="majorHAnsi"/>
                <w:sz w:val="18"/>
              </w:rPr>
              <w:t>here is no known history of equine land use on the Weabron site or adjoining vineyards.  The proposed rezoning and use of the land for large lot housing purposes is a compatible use with the Two Rivers Vineyard and surrounding agricultural</w:t>
            </w:r>
            <w:r w:rsidR="00E5116A" w:rsidRPr="00D21F75">
              <w:rPr>
                <w:rFonts w:asciiTheme="majorHAnsi" w:hAnsiTheme="majorHAnsi"/>
                <w:sz w:val="18"/>
              </w:rPr>
              <w:t xml:space="preserve"> land and Denman Village and it is not considered to be inconsistent with the provisions of the Upper Hunter </w:t>
            </w:r>
            <w:r w:rsidR="002626A8">
              <w:rPr>
                <w:rFonts w:asciiTheme="majorHAnsi" w:hAnsiTheme="majorHAnsi"/>
                <w:sz w:val="18"/>
              </w:rPr>
              <w:t xml:space="preserve">Strategic </w:t>
            </w:r>
            <w:r w:rsidR="00E5116A" w:rsidRPr="00D21F75">
              <w:rPr>
                <w:rFonts w:asciiTheme="majorHAnsi" w:hAnsiTheme="majorHAnsi"/>
                <w:sz w:val="18"/>
              </w:rPr>
              <w:t>Regional Land</w:t>
            </w:r>
            <w:r w:rsidR="004C1D59" w:rsidRPr="00D21F75">
              <w:rPr>
                <w:rFonts w:asciiTheme="majorHAnsi" w:hAnsiTheme="majorHAnsi"/>
                <w:sz w:val="18"/>
              </w:rPr>
              <w:t xml:space="preserve"> Use Plan and will not create a</w:t>
            </w:r>
            <w:r w:rsidR="00E5116A" w:rsidRPr="00D21F75">
              <w:rPr>
                <w:rFonts w:asciiTheme="majorHAnsi" w:hAnsiTheme="majorHAnsi"/>
                <w:sz w:val="18"/>
              </w:rPr>
              <w:t xml:space="preserve"> land use conflict with agricultural or natural resource lands. </w:t>
            </w:r>
          </w:p>
          <w:p w:rsidR="00AD5BCF" w:rsidRPr="00D21F75" w:rsidRDefault="00AD5BCF" w:rsidP="00BA7A84">
            <w:pPr>
              <w:spacing w:after="0"/>
              <w:rPr>
                <w:rFonts w:asciiTheme="majorHAnsi" w:hAnsiTheme="majorHAnsi"/>
                <w:sz w:val="18"/>
              </w:rPr>
            </w:pPr>
            <w:r w:rsidRPr="00D21F75">
              <w:rPr>
                <w:rFonts w:asciiTheme="majorHAnsi" w:hAnsiTheme="majorHAnsi"/>
                <w:sz w:val="18"/>
              </w:rPr>
              <w:t xml:space="preserve">As highlighted in the MRRRS the Waebron site is not constrained by any land use conflicts and is the preferred site for future rural residential development in Denman.   Consideration will be given to minimising </w:t>
            </w:r>
            <w:r w:rsidR="00BA7A84" w:rsidRPr="00D21F75">
              <w:rPr>
                <w:rFonts w:asciiTheme="majorHAnsi" w:hAnsiTheme="majorHAnsi"/>
                <w:sz w:val="18"/>
              </w:rPr>
              <w:t xml:space="preserve">potential </w:t>
            </w:r>
            <w:r w:rsidRPr="00D21F75">
              <w:rPr>
                <w:rFonts w:asciiTheme="majorHAnsi" w:hAnsiTheme="majorHAnsi"/>
                <w:sz w:val="18"/>
              </w:rPr>
              <w:t xml:space="preserve">land use conflicts at the </w:t>
            </w:r>
            <w:r w:rsidR="00BA7A84" w:rsidRPr="00D21F75">
              <w:rPr>
                <w:rFonts w:asciiTheme="majorHAnsi" w:hAnsiTheme="majorHAnsi"/>
                <w:sz w:val="18"/>
              </w:rPr>
              <w:t xml:space="preserve">subdivision </w:t>
            </w:r>
            <w:r w:rsidRPr="00D21F75">
              <w:rPr>
                <w:rFonts w:asciiTheme="majorHAnsi" w:hAnsiTheme="majorHAnsi"/>
                <w:sz w:val="18"/>
              </w:rPr>
              <w:t>design stage.</w:t>
            </w:r>
          </w:p>
        </w:tc>
        <w:tc>
          <w:tcPr>
            <w:tcW w:w="1276" w:type="dxa"/>
            <w:tcMar>
              <w:top w:w="113" w:type="dxa"/>
              <w:left w:w="85" w:type="dxa"/>
              <w:bottom w:w="113" w:type="dxa"/>
              <w:right w:w="85" w:type="dxa"/>
            </w:tcMar>
          </w:tcPr>
          <w:p w:rsidR="00AD5BCF" w:rsidRPr="00D21F75" w:rsidRDefault="00AD5BCF" w:rsidP="008F2EBB">
            <w:pPr>
              <w:spacing w:after="0"/>
              <w:rPr>
                <w:rFonts w:asciiTheme="majorHAnsi" w:hAnsiTheme="majorHAnsi"/>
                <w:sz w:val="18"/>
              </w:rPr>
            </w:pPr>
            <w:r w:rsidRPr="00D21F75">
              <w:rPr>
                <w:rFonts w:asciiTheme="majorHAnsi" w:hAnsiTheme="majorHAnsi"/>
                <w:sz w:val="18"/>
              </w:rPr>
              <w:t>YES</w:t>
            </w:r>
          </w:p>
        </w:tc>
      </w:tr>
      <w:tr w:rsidR="00AD5BCF" w:rsidRPr="00D21F75" w:rsidTr="0088028A">
        <w:trPr>
          <w:trHeight w:val="283"/>
        </w:trPr>
        <w:tc>
          <w:tcPr>
            <w:tcW w:w="2835" w:type="dxa"/>
            <w:tcMar>
              <w:top w:w="113" w:type="dxa"/>
              <w:left w:w="85" w:type="dxa"/>
              <w:bottom w:w="113" w:type="dxa"/>
              <w:right w:w="85" w:type="dxa"/>
            </w:tcMar>
          </w:tcPr>
          <w:p w:rsidR="00AD5BCF" w:rsidRPr="00D21F75" w:rsidRDefault="00AD5BCF" w:rsidP="00876817">
            <w:pPr>
              <w:spacing w:after="0"/>
              <w:rPr>
                <w:rFonts w:asciiTheme="majorHAnsi" w:hAnsiTheme="majorHAnsi"/>
                <w:sz w:val="18"/>
              </w:rPr>
            </w:pPr>
            <w:r w:rsidRPr="00D21F75">
              <w:rPr>
                <w:rFonts w:asciiTheme="majorHAnsi" w:hAnsiTheme="majorHAnsi"/>
                <w:sz w:val="18"/>
              </w:rPr>
              <w:t xml:space="preserve">New rural residential areas should be located adjacent to, or in close proximity to, existing urban </w:t>
            </w:r>
            <w:r w:rsidR="002626A8" w:rsidRPr="00D21F75">
              <w:rPr>
                <w:rFonts w:asciiTheme="majorHAnsi" w:hAnsiTheme="majorHAnsi"/>
                <w:sz w:val="18"/>
              </w:rPr>
              <w:t>centre</w:t>
            </w:r>
            <w:r w:rsidR="002626A8">
              <w:rPr>
                <w:rFonts w:asciiTheme="majorHAnsi" w:hAnsiTheme="majorHAnsi"/>
                <w:sz w:val="18"/>
              </w:rPr>
              <w:t>s</w:t>
            </w:r>
            <w:r w:rsidRPr="00D21F75">
              <w:rPr>
                <w:rFonts w:asciiTheme="majorHAnsi" w:hAnsiTheme="majorHAnsi"/>
                <w:sz w:val="18"/>
              </w:rPr>
              <w:t xml:space="preserve"> and be within easy access of relevant infrastructure and services.</w:t>
            </w:r>
          </w:p>
        </w:tc>
        <w:tc>
          <w:tcPr>
            <w:tcW w:w="4536" w:type="dxa"/>
            <w:tcMar>
              <w:top w:w="113" w:type="dxa"/>
              <w:left w:w="85" w:type="dxa"/>
              <w:bottom w:w="113" w:type="dxa"/>
              <w:right w:w="85" w:type="dxa"/>
            </w:tcMar>
          </w:tcPr>
          <w:p w:rsidR="00AD5BCF" w:rsidRPr="00D21F75" w:rsidRDefault="00AD5BCF" w:rsidP="004142C3">
            <w:pPr>
              <w:spacing w:after="0"/>
              <w:rPr>
                <w:rFonts w:asciiTheme="majorHAnsi" w:hAnsiTheme="majorHAnsi"/>
                <w:sz w:val="18"/>
              </w:rPr>
            </w:pPr>
            <w:r w:rsidRPr="00D21F75">
              <w:rPr>
                <w:rFonts w:asciiTheme="majorHAnsi" w:hAnsiTheme="majorHAnsi"/>
                <w:sz w:val="18"/>
              </w:rPr>
              <w:t xml:space="preserve">As highlighted in the MRRRS </w:t>
            </w:r>
            <w:r w:rsidR="00E5116A" w:rsidRPr="00D21F75">
              <w:rPr>
                <w:rFonts w:asciiTheme="majorHAnsi" w:hAnsiTheme="majorHAnsi"/>
                <w:sz w:val="18"/>
              </w:rPr>
              <w:t xml:space="preserve">and discussed above </w:t>
            </w:r>
            <w:r w:rsidRPr="00D21F75">
              <w:rPr>
                <w:rFonts w:asciiTheme="majorHAnsi" w:hAnsiTheme="majorHAnsi"/>
                <w:sz w:val="18"/>
              </w:rPr>
              <w:t>the Waebron site is located within close proximity of the existing town centre of Denman and is within access of existing infrastructure</w:t>
            </w:r>
            <w:r w:rsidR="00E5116A" w:rsidRPr="00D21F75">
              <w:rPr>
                <w:rFonts w:asciiTheme="majorHAnsi" w:hAnsiTheme="majorHAnsi"/>
                <w:sz w:val="18"/>
              </w:rPr>
              <w:t xml:space="preserve"> and services</w:t>
            </w:r>
            <w:r w:rsidRPr="00D21F75">
              <w:rPr>
                <w:rFonts w:asciiTheme="majorHAnsi" w:hAnsiTheme="majorHAnsi"/>
                <w:sz w:val="18"/>
              </w:rPr>
              <w:t xml:space="preserve">. </w:t>
            </w:r>
            <w:r w:rsidR="004142C3">
              <w:rPr>
                <w:rFonts w:asciiTheme="majorHAnsi" w:hAnsiTheme="majorHAnsi"/>
                <w:sz w:val="18"/>
              </w:rPr>
              <w:t xml:space="preserve"> The inclusion of Lot 1 as an Urban Release Area will ensure </w:t>
            </w:r>
            <w:r w:rsidR="004142C3" w:rsidRPr="004142C3">
              <w:rPr>
                <w:rFonts w:asciiTheme="majorHAnsi" w:hAnsiTheme="majorHAnsi"/>
                <w:sz w:val="18"/>
              </w:rPr>
              <w:t>that any public utility infrastructure that is essential for the proposed development is available or that adequate arrangements have been made to make that infrastructure available when required.</w:t>
            </w:r>
          </w:p>
        </w:tc>
        <w:tc>
          <w:tcPr>
            <w:tcW w:w="1276" w:type="dxa"/>
            <w:tcMar>
              <w:top w:w="113" w:type="dxa"/>
              <w:left w:w="85" w:type="dxa"/>
              <w:bottom w:w="113" w:type="dxa"/>
              <w:right w:w="85" w:type="dxa"/>
            </w:tcMar>
          </w:tcPr>
          <w:p w:rsidR="00AD5BCF" w:rsidRPr="00D21F75" w:rsidRDefault="00AD5BCF" w:rsidP="00876817">
            <w:pPr>
              <w:spacing w:after="0"/>
              <w:rPr>
                <w:rFonts w:asciiTheme="majorHAnsi" w:hAnsiTheme="majorHAnsi"/>
                <w:sz w:val="18"/>
              </w:rPr>
            </w:pPr>
            <w:r w:rsidRPr="00D21F75">
              <w:rPr>
                <w:rFonts w:asciiTheme="majorHAnsi" w:hAnsiTheme="majorHAnsi"/>
                <w:sz w:val="18"/>
              </w:rPr>
              <w:t>YES</w:t>
            </w:r>
          </w:p>
        </w:tc>
      </w:tr>
    </w:tbl>
    <w:p w:rsidR="008B3B98" w:rsidRDefault="008576C9" w:rsidP="0088028A">
      <w:pPr>
        <w:widowControl w:val="0"/>
        <w:suppressAutoHyphens/>
        <w:autoSpaceDE w:val="0"/>
        <w:autoSpaceDN w:val="0"/>
        <w:adjustRightInd w:val="0"/>
        <w:spacing w:after="0"/>
        <w:textAlignment w:val="center"/>
        <w:rPr>
          <w:rFonts w:asciiTheme="majorHAnsi" w:eastAsia="Times New Roman" w:hAnsiTheme="majorHAnsi" w:cs="Times New Roman"/>
          <w:color w:val="000000"/>
          <w:sz w:val="22"/>
          <w:lang w:eastAsia="en-AU"/>
        </w:rPr>
      </w:pPr>
      <w:r>
        <w:rPr>
          <w:rFonts w:asciiTheme="majorHAnsi" w:eastAsia="Times New Roman" w:hAnsiTheme="majorHAnsi" w:cs="Times New Roman"/>
          <w:color w:val="000000"/>
          <w:sz w:val="22"/>
          <w:lang w:eastAsia="en-AU"/>
        </w:rPr>
        <w:t xml:space="preserve">It is submitted that the </w:t>
      </w:r>
      <w:r w:rsidR="006C7B49">
        <w:rPr>
          <w:rFonts w:asciiTheme="majorHAnsi" w:eastAsia="Times New Roman" w:hAnsiTheme="majorHAnsi" w:cs="Times New Roman"/>
          <w:color w:val="000000"/>
          <w:sz w:val="22"/>
          <w:lang w:eastAsia="en-AU"/>
        </w:rPr>
        <w:t>Planning Proposal</w:t>
      </w:r>
      <w:r>
        <w:rPr>
          <w:rFonts w:asciiTheme="majorHAnsi" w:eastAsia="Times New Roman" w:hAnsiTheme="majorHAnsi" w:cs="Times New Roman"/>
          <w:color w:val="000000"/>
          <w:sz w:val="22"/>
          <w:lang w:eastAsia="en-AU"/>
        </w:rPr>
        <w:t xml:space="preserve"> is consistent with the relevant objectives and actions as highlighted above and detailed in the Upper Hunter SRLUP.</w:t>
      </w:r>
    </w:p>
    <w:p w:rsidR="009757DA" w:rsidRPr="00D21F75" w:rsidRDefault="009757DA" w:rsidP="008F2EBB">
      <w:pPr>
        <w:spacing w:before="240" w:after="240" w:line="280" w:lineRule="exact"/>
        <w:contextualSpacing/>
        <w:jc w:val="both"/>
        <w:rPr>
          <w:rFonts w:asciiTheme="majorHAnsi" w:eastAsia="Times New Roman" w:hAnsiTheme="majorHAnsi" w:cs="Times New Roman"/>
          <w:b/>
          <w:i/>
          <w:color w:val="000000"/>
          <w:sz w:val="23"/>
          <w:szCs w:val="23"/>
          <w:lang w:eastAsia="en-AU"/>
        </w:rPr>
      </w:pPr>
      <w:r w:rsidRPr="00D21F75">
        <w:rPr>
          <w:rFonts w:asciiTheme="majorHAnsi" w:eastAsia="Times New Roman" w:hAnsiTheme="majorHAnsi" w:cs="Times New Roman"/>
          <w:b/>
          <w:i/>
          <w:color w:val="000000"/>
          <w:sz w:val="23"/>
          <w:szCs w:val="23"/>
          <w:lang w:eastAsia="en-AU"/>
        </w:rPr>
        <w:lastRenderedPageBreak/>
        <w:t xml:space="preserve">Is the </w:t>
      </w:r>
      <w:r w:rsidR="006C7B49">
        <w:rPr>
          <w:rFonts w:asciiTheme="majorHAnsi" w:eastAsia="Times New Roman" w:hAnsiTheme="majorHAnsi" w:cs="Times New Roman"/>
          <w:b/>
          <w:i/>
          <w:color w:val="000000"/>
          <w:sz w:val="23"/>
          <w:szCs w:val="23"/>
          <w:lang w:eastAsia="en-AU"/>
        </w:rPr>
        <w:t>Planning Proposal</w:t>
      </w:r>
      <w:r w:rsidRPr="00D21F75">
        <w:rPr>
          <w:rFonts w:asciiTheme="majorHAnsi" w:eastAsia="Times New Roman" w:hAnsiTheme="majorHAnsi" w:cs="Times New Roman"/>
          <w:b/>
          <w:i/>
          <w:color w:val="000000"/>
          <w:sz w:val="23"/>
          <w:szCs w:val="23"/>
          <w:lang w:eastAsia="en-AU"/>
        </w:rPr>
        <w:t xml:space="preserve"> consistent with </w:t>
      </w:r>
      <w:r w:rsidR="00C12D1C" w:rsidRPr="00D21F75">
        <w:rPr>
          <w:rFonts w:asciiTheme="majorHAnsi" w:eastAsia="Times New Roman" w:hAnsiTheme="majorHAnsi" w:cs="Times New Roman"/>
          <w:b/>
          <w:i/>
          <w:color w:val="000000"/>
          <w:sz w:val="23"/>
          <w:szCs w:val="23"/>
          <w:lang w:eastAsia="en-AU"/>
        </w:rPr>
        <w:t>a</w:t>
      </w:r>
      <w:r w:rsidRPr="00D21F75">
        <w:rPr>
          <w:rFonts w:asciiTheme="majorHAnsi" w:eastAsia="Times New Roman" w:hAnsiTheme="majorHAnsi" w:cs="Times New Roman"/>
          <w:b/>
          <w:i/>
          <w:color w:val="000000"/>
          <w:sz w:val="23"/>
          <w:szCs w:val="23"/>
          <w:lang w:eastAsia="en-AU"/>
        </w:rPr>
        <w:t xml:space="preserve"> council’s</w:t>
      </w:r>
      <w:r w:rsidR="00C12D1C" w:rsidRPr="00D21F75">
        <w:rPr>
          <w:rFonts w:asciiTheme="majorHAnsi" w:eastAsia="Times New Roman" w:hAnsiTheme="majorHAnsi" w:cs="Times New Roman"/>
          <w:b/>
          <w:i/>
          <w:color w:val="000000"/>
          <w:sz w:val="23"/>
          <w:szCs w:val="23"/>
          <w:lang w:eastAsia="en-AU"/>
        </w:rPr>
        <w:t xml:space="preserve"> local strategy or other </w:t>
      </w:r>
      <w:r w:rsidRPr="00D21F75">
        <w:rPr>
          <w:rFonts w:asciiTheme="majorHAnsi" w:eastAsia="Times New Roman" w:hAnsiTheme="majorHAnsi" w:cs="Times New Roman"/>
          <w:b/>
          <w:i/>
          <w:color w:val="000000"/>
          <w:sz w:val="23"/>
          <w:szCs w:val="23"/>
          <w:lang w:eastAsia="en-AU"/>
        </w:rPr>
        <w:t>local strategic plan?</w:t>
      </w:r>
    </w:p>
    <w:p w:rsidR="007C27D5" w:rsidRPr="008F2EBB" w:rsidRDefault="007C27D5" w:rsidP="008F2EBB">
      <w:pPr>
        <w:spacing w:before="240" w:after="240" w:line="280" w:lineRule="exact"/>
        <w:contextualSpacing/>
        <w:jc w:val="both"/>
        <w:rPr>
          <w:rFonts w:ascii="Trebuchet MS" w:eastAsia="Times New Roman" w:hAnsi="Trebuchet MS" w:cs="Times New Roman"/>
          <w:b/>
          <w:i/>
          <w:color w:val="000000"/>
          <w:sz w:val="19"/>
          <w:lang w:eastAsia="en-AU"/>
        </w:rPr>
      </w:pPr>
    </w:p>
    <w:p w:rsidR="008B72BE" w:rsidRPr="00D21F75" w:rsidRDefault="00AD5BCF" w:rsidP="008F2EBB">
      <w:pPr>
        <w:spacing w:before="240" w:after="240" w:line="280" w:lineRule="exact"/>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As discussed in Section 3.3.1, Weabron</w:t>
      </w:r>
      <w:r w:rsidR="00D21F75" w:rsidRPr="00D21F75">
        <w:rPr>
          <w:rFonts w:asciiTheme="majorHAnsi" w:eastAsia="Times New Roman" w:hAnsiTheme="majorHAnsi" w:cs="Times New Roman"/>
          <w:color w:val="000000"/>
          <w:sz w:val="22"/>
          <w:lang w:eastAsia="en-AU"/>
        </w:rPr>
        <w:t xml:space="preserve"> site</w:t>
      </w:r>
      <w:r w:rsidRPr="00D21F75">
        <w:rPr>
          <w:rFonts w:asciiTheme="majorHAnsi" w:eastAsia="Times New Roman" w:hAnsiTheme="majorHAnsi" w:cs="Times New Roman"/>
          <w:color w:val="000000"/>
          <w:sz w:val="22"/>
          <w:lang w:eastAsia="en-AU"/>
        </w:rPr>
        <w:t xml:space="preserve"> is nominated within the </w:t>
      </w:r>
      <w:r w:rsidR="00C12D1C" w:rsidRPr="00D21F75">
        <w:rPr>
          <w:rFonts w:asciiTheme="majorHAnsi" w:eastAsia="Times New Roman" w:hAnsiTheme="majorHAnsi" w:cs="Times New Roman"/>
          <w:color w:val="000000"/>
          <w:sz w:val="22"/>
          <w:lang w:eastAsia="en-AU"/>
        </w:rPr>
        <w:t xml:space="preserve">Council adopted </w:t>
      </w:r>
      <w:r w:rsidRPr="00D21F75">
        <w:rPr>
          <w:rFonts w:asciiTheme="majorHAnsi" w:eastAsia="Times New Roman" w:hAnsiTheme="majorHAnsi" w:cs="Times New Roman"/>
          <w:color w:val="000000"/>
          <w:sz w:val="22"/>
          <w:lang w:eastAsia="en-AU"/>
        </w:rPr>
        <w:t xml:space="preserve">MRRRS as the preferred candidate area for rural residential development </w:t>
      </w:r>
      <w:r w:rsidR="008F2EBB" w:rsidRPr="00D21F75">
        <w:rPr>
          <w:rFonts w:asciiTheme="majorHAnsi" w:eastAsia="Times New Roman" w:hAnsiTheme="majorHAnsi" w:cs="Times New Roman"/>
          <w:color w:val="000000"/>
          <w:sz w:val="22"/>
          <w:lang w:eastAsia="en-AU"/>
        </w:rPr>
        <w:t>in Denman.</w:t>
      </w:r>
      <w:r w:rsidR="008B72BE" w:rsidRPr="00D21F75">
        <w:rPr>
          <w:rFonts w:asciiTheme="majorHAnsi" w:eastAsia="Times New Roman" w:hAnsiTheme="majorHAnsi" w:cs="Times New Roman"/>
          <w:color w:val="000000"/>
          <w:sz w:val="22"/>
          <w:lang w:eastAsia="en-AU"/>
        </w:rPr>
        <w:t xml:space="preserve"> </w:t>
      </w:r>
    </w:p>
    <w:p w:rsidR="008B72BE" w:rsidRPr="00D21F75" w:rsidRDefault="008B72BE" w:rsidP="008F2EBB">
      <w:pPr>
        <w:spacing w:before="240" w:after="240" w:line="280" w:lineRule="exact"/>
        <w:contextualSpacing/>
        <w:jc w:val="both"/>
        <w:rPr>
          <w:rFonts w:asciiTheme="majorHAnsi" w:eastAsia="Times New Roman" w:hAnsiTheme="majorHAnsi" w:cs="Times New Roman"/>
          <w:color w:val="000000"/>
          <w:sz w:val="22"/>
          <w:lang w:eastAsia="en-AU"/>
        </w:rPr>
      </w:pPr>
    </w:p>
    <w:p w:rsidR="00D22D37" w:rsidRPr="00D21F75" w:rsidRDefault="00D22D37" w:rsidP="008F2EBB">
      <w:pPr>
        <w:spacing w:before="240" w:after="240" w:line="280" w:lineRule="exact"/>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following key findings of the</w:t>
      </w:r>
      <w:r w:rsidR="009C3335" w:rsidRPr="00D21F75">
        <w:rPr>
          <w:rFonts w:asciiTheme="majorHAnsi" w:eastAsia="Times New Roman" w:hAnsiTheme="majorHAnsi" w:cs="Times New Roman"/>
          <w:color w:val="000000"/>
          <w:sz w:val="22"/>
          <w:lang w:eastAsia="en-AU"/>
        </w:rPr>
        <w:t xml:space="preserve"> MRRRS are noted, as they relate to Denman:</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Muswellbrook and Denman townships are distinct sub markets, with little overlap in demand, and the Denman sub market accounts for around 10% of the total residential and rura</w:t>
      </w:r>
      <w:r w:rsidR="00BA7A84" w:rsidRPr="00D21F75">
        <w:rPr>
          <w:rFonts w:asciiTheme="majorHAnsi" w:eastAsia="Times New Roman" w:hAnsiTheme="majorHAnsi" w:cs="Times New Roman"/>
          <w:color w:val="000000"/>
          <w:sz w:val="22"/>
          <w:lang w:eastAsia="en-AU"/>
        </w:rPr>
        <w:t>l residential demand in the LGA</w:t>
      </w:r>
      <w:r w:rsidR="004533EE">
        <w:rPr>
          <w:rFonts w:asciiTheme="majorHAnsi" w:eastAsia="Times New Roman" w:hAnsiTheme="majorHAnsi" w:cs="Times New Roman"/>
          <w:color w:val="000000"/>
          <w:sz w:val="22"/>
          <w:lang w:eastAsia="en-AU"/>
        </w:rPr>
        <w:t>.</w:t>
      </w:r>
    </w:p>
    <w:p w:rsidR="009C3335" w:rsidRPr="00D21F75" w:rsidRDefault="00D22D37"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local and regional policies indicate that new residential and rural residential area should be located near existing residential areas to minimise the potential for land use conflict and maximise the eff</w:t>
      </w:r>
      <w:r w:rsidR="00BA7A84" w:rsidRPr="00D21F75">
        <w:rPr>
          <w:rFonts w:asciiTheme="majorHAnsi" w:eastAsia="Times New Roman" w:hAnsiTheme="majorHAnsi" w:cs="Times New Roman"/>
          <w:color w:val="000000"/>
          <w:sz w:val="22"/>
          <w:lang w:eastAsia="en-AU"/>
        </w:rPr>
        <w:t>iciency of infrastructure usage</w:t>
      </w:r>
      <w:r w:rsidR="004533EE">
        <w:rPr>
          <w:rFonts w:asciiTheme="majorHAnsi" w:eastAsia="Times New Roman" w:hAnsiTheme="majorHAnsi" w:cs="Times New Roman"/>
          <w:color w:val="000000"/>
          <w:sz w:val="22"/>
          <w:lang w:eastAsia="en-AU"/>
        </w:rPr>
        <w:t>.</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The MRRRS notes that evidence suggests there is strong underlying demand for housing in Denman that is not currently being met by supply, which accounts for the increase </w:t>
      </w:r>
      <w:r w:rsidR="004533EE">
        <w:rPr>
          <w:rFonts w:asciiTheme="majorHAnsi" w:eastAsia="Times New Roman" w:hAnsiTheme="majorHAnsi" w:cs="Times New Roman"/>
          <w:color w:val="000000"/>
          <w:sz w:val="22"/>
          <w:lang w:eastAsia="en-AU"/>
        </w:rPr>
        <w:t>in prices for housing in Denman.</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The supply assessment revealed that the Waebron site (referred to as Candidate Area A in MRRRS) has no environmental constraints to development and is the only candidate area in Denman to achieve this status; The supply assessment revealed that the Waebron site is the least constrained candidate area for infrastructure provision, with an extension to the water available with no major upgrade required, sewer servicing available (although not necessarily required), and road extension and </w:t>
      </w:r>
      <w:r w:rsidR="00BA7A84" w:rsidRPr="00D21F75">
        <w:rPr>
          <w:rFonts w:asciiTheme="majorHAnsi" w:eastAsia="Times New Roman" w:hAnsiTheme="majorHAnsi" w:cs="Times New Roman"/>
          <w:color w:val="000000"/>
          <w:sz w:val="22"/>
          <w:lang w:eastAsia="en-AU"/>
        </w:rPr>
        <w:t>stormwater provision feasible.</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supply assessment revealed that the Waebron property is the least constrained site overall for Denman when the environmental and infrastructure constraint</w:t>
      </w:r>
      <w:r w:rsidR="004533EE">
        <w:rPr>
          <w:rFonts w:asciiTheme="majorHAnsi" w:eastAsia="Times New Roman" w:hAnsiTheme="majorHAnsi" w:cs="Times New Roman"/>
          <w:color w:val="000000"/>
          <w:sz w:val="22"/>
          <w:lang w:eastAsia="en-AU"/>
        </w:rPr>
        <w:t>s were considered together.</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supply assessment highlights the importance of havin</w:t>
      </w:r>
      <w:r w:rsidR="00BA7A84" w:rsidRPr="00D21F75">
        <w:rPr>
          <w:rFonts w:asciiTheme="majorHAnsi" w:eastAsia="Times New Roman" w:hAnsiTheme="majorHAnsi" w:cs="Times New Roman"/>
          <w:color w:val="000000"/>
          <w:sz w:val="22"/>
          <w:lang w:eastAsia="en-AU"/>
        </w:rPr>
        <w:t xml:space="preserve">g contestability in the market </w:t>
      </w:r>
      <w:r w:rsidRPr="00D21F75">
        <w:rPr>
          <w:rFonts w:asciiTheme="majorHAnsi" w:eastAsia="Times New Roman" w:hAnsiTheme="majorHAnsi" w:cs="Times New Roman"/>
          <w:color w:val="000000"/>
          <w:sz w:val="22"/>
          <w:lang w:eastAsia="en-AU"/>
        </w:rPr>
        <w:t>and notes that there is currently no new rural resid</w:t>
      </w:r>
      <w:r w:rsidR="004533EE">
        <w:rPr>
          <w:rFonts w:asciiTheme="majorHAnsi" w:eastAsia="Times New Roman" w:hAnsiTheme="majorHAnsi" w:cs="Times New Roman"/>
          <w:color w:val="000000"/>
          <w:sz w:val="22"/>
          <w:lang w:eastAsia="en-AU"/>
        </w:rPr>
        <w:t>ential land for sale in Denman.</w:t>
      </w:r>
    </w:p>
    <w:p w:rsidR="009C3335" w:rsidRPr="00D21F75" w:rsidRDefault="009C3335" w:rsidP="00D21F75">
      <w:pPr>
        <w:pStyle w:val="ListParagraph"/>
        <w:numPr>
          <w:ilvl w:val="0"/>
          <w:numId w:val="25"/>
        </w:numPr>
        <w:spacing w:before="120"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Having regard to the above findings the MRRRS concludes that there is justification in releasing additional rura</w:t>
      </w:r>
      <w:r w:rsidR="00BA7A84" w:rsidRPr="00D21F75">
        <w:rPr>
          <w:rFonts w:asciiTheme="majorHAnsi" w:eastAsia="Times New Roman" w:hAnsiTheme="majorHAnsi" w:cs="Times New Roman"/>
          <w:color w:val="000000"/>
          <w:sz w:val="22"/>
          <w:lang w:eastAsia="en-AU"/>
        </w:rPr>
        <w:t xml:space="preserve">l residential supply for Denman, </w:t>
      </w:r>
      <w:r w:rsidRPr="00D21F75">
        <w:rPr>
          <w:rFonts w:asciiTheme="majorHAnsi" w:eastAsia="Times New Roman" w:hAnsiTheme="majorHAnsi" w:cs="Times New Roman"/>
          <w:color w:val="000000"/>
          <w:sz w:val="22"/>
          <w:lang w:eastAsia="en-AU"/>
        </w:rPr>
        <w:t>and nominates the Waebron site as the preferred candidate area.</w:t>
      </w:r>
    </w:p>
    <w:p w:rsidR="009C3335" w:rsidRPr="00D21F75" w:rsidRDefault="009C3335" w:rsidP="00D21F75">
      <w:pPr>
        <w:spacing w:before="240" w:after="240"/>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following recommendations of the MRRRS are noted, as they relate to Denman:</w:t>
      </w:r>
    </w:p>
    <w:p w:rsidR="00FD2CF3" w:rsidRPr="00D21F75" w:rsidRDefault="009C3335" w:rsidP="00D21F75">
      <w:pPr>
        <w:pStyle w:val="ListParagraph"/>
        <w:numPr>
          <w:ilvl w:val="0"/>
          <w:numId w:val="24"/>
        </w:numPr>
        <w:spacing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Candidate Area </w:t>
      </w:r>
      <w:proofErr w:type="gramStart"/>
      <w:r w:rsidRPr="00D21F75">
        <w:rPr>
          <w:rFonts w:asciiTheme="majorHAnsi" w:eastAsia="Times New Roman" w:hAnsiTheme="majorHAnsi" w:cs="Times New Roman"/>
          <w:color w:val="000000"/>
          <w:sz w:val="22"/>
          <w:lang w:eastAsia="en-AU"/>
        </w:rPr>
        <w:t>A</w:t>
      </w:r>
      <w:proofErr w:type="gramEnd"/>
      <w:r w:rsidRPr="00D21F75">
        <w:rPr>
          <w:rFonts w:asciiTheme="majorHAnsi" w:eastAsia="Times New Roman" w:hAnsiTheme="majorHAnsi" w:cs="Times New Roman"/>
          <w:color w:val="000000"/>
          <w:sz w:val="22"/>
          <w:lang w:eastAsia="en-AU"/>
        </w:rPr>
        <w:t xml:space="preserve"> (Waebron) </w:t>
      </w:r>
      <w:r w:rsidR="00FD2CF3" w:rsidRPr="00D21F75">
        <w:rPr>
          <w:rFonts w:asciiTheme="majorHAnsi" w:eastAsia="Times New Roman" w:hAnsiTheme="majorHAnsi" w:cs="Times New Roman"/>
          <w:color w:val="000000"/>
          <w:sz w:val="22"/>
          <w:lang w:eastAsia="en-AU"/>
        </w:rPr>
        <w:t>is number one in the preferred sequencing for future rura</w:t>
      </w:r>
      <w:r w:rsidR="004533EE">
        <w:rPr>
          <w:rFonts w:asciiTheme="majorHAnsi" w:eastAsia="Times New Roman" w:hAnsiTheme="majorHAnsi" w:cs="Times New Roman"/>
          <w:color w:val="000000"/>
          <w:sz w:val="22"/>
          <w:lang w:eastAsia="en-AU"/>
        </w:rPr>
        <w:t>l residential housing in Denman.</w:t>
      </w:r>
    </w:p>
    <w:p w:rsidR="00FD2CF3" w:rsidRPr="00D21F75" w:rsidRDefault="00FD2CF3" w:rsidP="00D21F75">
      <w:pPr>
        <w:pStyle w:val="ListParagraph"/>
        <w:numPr>
          <w:ilvl w:val="0"/>
          <w:numId w:val="24"/>
        </w:numPr>
        <w:spacing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In rela</w:t>
      </w:r>
      <w:r w:rsidR="00BA7A84" w:rsidRPr="00D21F75">
        <w:rPr>
          <w:rFonts w:asciiTheme="majorHAnsi" w:eastAsia="Times New Roman" w:hAnsiTheme="majorHAnsi" w:cs="Times New Roman"/>
          <w:color w:val="000000"/>
          <w:sz w:val="22"/>
          <w:lang w:eastAsia="en-AU"/>
        </w:rPr>
        <w:t xml:space="preserve">tion to timing for new releases (Denman) </w:t>
      </w:r>
      <w:r w:rsidRPr="00D21F75">
        <w:rPr>
          <w:rFonts w:asciiTheme="majorHAnsi" w:eastAsia="Times New Roman" w:hAnsiTheme="majorHAnsi" w:cs="Times New Roman"/>
          <w:color w:val="000000"/>
          <w:sz w:val="22"/>
          <w:lang w:eastAsia="en-AU"/>
        </w:rPr>
        <w:t>the MRRRS recommends a</w:t>
      </w:r>
      <w:r w:rsidR="009C3335" w:rsidRPr="00D21F75">
        <w:rPr>
          <w:rFonts w:asciiTheme="majorHAnsi" w:eastAsia="Times New Roman" w:hAnsiTheme="majorHAnsi" w:cs="Times New Roman"/>
          <w:color w:val="000000"/>
          <w:sz w:val="22"/>
          <w:lang w:eastAsia="en-AU"/>
        </w:rPr>
        <w:t>dditional land should be released in the short term to address the constraints to larger lot yield</w:t>
      </w:r>
      <w:r w:rsidR="004533EE">
        <w:rPr>
          <w:rFonts w:asciiTheme="majorHAnsi" w:eastAsia="Times New Roman" w:hAnsiTheme="majorHAnsi" w:cs="Times New Roman"/>
          <w:color w:val="000000"/>
          <w:sz w:val="22"/>
          <w:lang w:eastAsia="en-AU"/>
        </w:rPr>
        <w:t>.</w:t>
      </w:r>
      <w:r w:rsidR="009C3335" w:rsidRPr="00D21F75">
        <w:rPr>
          <w:rFonts w:asciiTheme="majorHAnsi" w:eastAsia="Times New Roman" w:hAnsiTheme="majorHAnsi" w:cs="Times New Roman"/>
          <w:color w:val="000000"/>
          <w:sz w:val="22"/>
          <w:lang w:eastAsia="en-AU"/>
        </w:rPr>
        <w:t xml:space="preserve"> </w:t>
      </w:r>
    </w:p>
    <w:p w:rsidR="00FD2CF3" w:rsidRPr="00D21F75" w:rsidRDefault="00FD2CF3" w:rsidP="00D21F75">
      <w:pPr>
        <w:pStyle w:val="ListParagraph"/>
        <w:numPr>
          <w:ilvl w:val="0"/>
          <w:numId w:val="24"/>
        </w:numPr>
        <w:spacing w:after="120"/>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The following specific comments are noted in the recommendations of the MRRRS as they relate to rural residential housing in Denman:</w:t>
      </w:r>
    </w:p>
    <w:p w:rsidR="009C3335" w:rsidRPr="00D21F75" w:rsidRDefault="00FD2CF3" w:rsidP="004533EE">
      <w:pPr>
        <w:spacing w:before="240" w:after="240"/>
        <w:ind w:left="1440" w:right="134"/>
        <w:contextualSpacing/>
        <w:jc w:val="both"/>
        <w:rPr>
          <w:rFonts w:asciiTheme="majorHAnsi" w:eastAsia="Times New Roman" w:hAnsiTheme="majorHAnsi" w:cs="Times New Roman"/>
          <w:i/>
          <w:color w:val="000000"/>
          <w:sz w:val="22"/>
          <w:lang w:eastAsia="en-AU"/>
        </w:rPr>
      </w:pPr>
      <w:r w:rsidRPr="00D21F75">
        <w:rPr>
          <w:rFonts w:asciiTheme="majorHAnsi" w:eastAsia="Times New Roman" w:hAnsiTheme="majorHAnsi" w:cs="Times New Roman"/>
          <w:i/>
          <w:color w:val="000000"/>
          <w:sz w:val="22"/>
          <w:lang w:eastAsia="en-AU"/>
        </w:rPr>
        <w:t>‘</w:t>
      </w:r>
      <w:r w:rsidR="009C3335" w:rsidRPr="00D21F75">
        <w:rPr>
          <w:rFonts w:asciiTheme="majorHAnsi" w:eastAsia="Times New Roman" w:hAnsiTheme="majorHAnsi" w:cs="Times New Roman"/>
          <w:i/>
          <w:color w:val="000000"/>
          <w:sz w:val="22"/>
          <w:lang w:eastAsia="en-AU"/>
        </w:rPr>
        <w:t xml:space="preserve">There is currently no new rural residential land available for sale in Denman. There is no indication that landowners in the established area are interested in further subdivision of their land in Denman. Further, the timing and number of available rural residential type lots within the West Denman </w:t>
      </w:r>
      <w:r w:rsidR="009C3335" w:rsidRPr="00D21F75">
        <w:rPr>
          <w:rFonts w:asciiTheme="majorHAnsi" w:eastAsia="Times New Roman" w:hAnsiTheme="majorHAnsi" w:cs="Times New Roman"/>
          <w:i/>
          <w:color w:val="000000"/>
          <w:sz w:val="22"/>
          <w:lang w:eastAsia="en-AU"/>
        </w:rPr>
        <w:lastRenderedPageBreak/>
        <w:t>release area is also uncertain. Similarly, there is no guarantee that the estimated full lot yield will be released in the short term as the proposed rural residential type lots</w:t>
      </w:r>
      <w:r w:rsidR="00BA7A84" w:rsidRPr="00D21F75">
        <w:rPr>
          <w:rFonts w:asciiTheme="majorHAnsi" w:eastAsia="Times New Roman" w:hAnsiTheme="majorHAnsi" w:cs="Times New Roman"/>
          <w:i/>
          <w:color w:val="000000"/>
          <w:sz w:val="22"/>
          <w:lang w:eastAsia="en-AU"/>
        </w:rPr>
        <w:t xml:space="preserve"> (zoned as RU5 Village)</w:t>
      </w:r>
      <w:r w:rsidR="009C3335" w:rsidRPr="00D21F75">
        <w:rPr>
          <w:rFonts w:asciiTheme="majorHAnsi" w:eastAsia="Times New Roman" w:hAnsiTheme="majorHAnsi" w:cs="Times New Roman"/>
          <w:i/>
          <w:color w:val="000000"/>
          <w:sz w:val="22"/>
          <w:lang w:eastAsia="en-AU"/>
        </w:rPr>
        <w:t xml:space="preserve"> are contained in later stages of the West Denman release area. From this perspective, and given the imperative to ensure contestability in the market, at least one additional development front or new developer should be contemplated in short term. Any new development should be sequential and impose no net cost to Council or the state government.</w:t>
      </w:r>
      <w:r w:rsidRPr="00D21F75">
        <w:rPr>
          <w:rFonts w:asciiTheme="majorHAnsi" w:eastAsia="Times New Roman" w:hAnsiTheme="majorHAnsi" w:cs="Times New Roman"/>
          <w:i/>
          <w:color w:val="000000"/>
          <w:sz w:val="22"/>
          <w:lang w:eastAsia="en-AU"/>
        </w:rPr>
        <w:t>’</w:t>
      </w:r>
      <w:r w:rsidR="009C3335" w:rsidRPr="00D21F75">
        <w:rPr>
          <w:rFonts w:asciiTheme="majorHAnsi" w:eastAsia="Times New Roman" w:hAnsiTheme="majorHAnsi" w:cs="Times New Roman"/>
          <w:i/>
          <w:color w:val="000000"/>
          <w:sz w:val="22"/>
          <w:lang w:eastAsia="en-AU"/>
        </w:rPr>
        <w:t xml:space="preserve"> </w:t>
      </w:r>
    </w:p>
    <w:p w:rsidR="009D25CA" w:rsidRPr="00D21F75" w:rsidRDefault="009D25CA" w:rsidP="00D21F75">
      <w:pPr>
        <w:spacing w:before="240" w:after="240"/>
        <w:contextualSpacing/>
        <w:jc w:val="both"/>
        <w:rPr>
          <w:rFonts w:asciiTheme="majorHAnsi" w:eastAsia="Times New Roman" w:hAnsiTheme="majorHAnsi" w:cs="Times New Roman"/>
          <w:color w:val="000000"/>
          <w:sz w:val="22"/>
          <w:lang w:eastAsia="en-AU"/>
        </w:rPr>
      </w:pPr>
    </w:p>
    <w:p w:rsidR="009D050C" w:rsidRPr="00D21F75" w:rsidRDefault="00FD2CF3" w:rsidP="00D21F75">
      <w:pPr>
        <w:spacing w:before="240" w:after="240"/>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It is clear from the MRRRS that the land the subject of this </w:t>
      </w:r>
      <w:r w:rsidR="006C7B49">
        <w:rPr>
          <w:rFonts w:asciiTheme="majorHAnsi" w:eastAsia="Times New Roman" w:hAnsiTheme="majorHAnsi" w:cs="Times New Roman"/>
          <w:color w:val="000000"/>
          <w:sz w:val="22"/>
          <w:lang w:eastAsia="en-AU"/>
        </w:rPr>
        <w:t>Planning Proposal</w:t>
      </w:r>
      <w:r w:rsidRPr="00D21F75">
        <w:rPr>
          <w:rFonts w:asciiTheme="majorHAnsi" w:eastAsia="Times New Roman" w:hAnsiTheme="majorHAnsi" w:cs="Times New Roman"/>
          <w:color w:val="000000"/>
          <w:sz w:val="22"/>
          <w:lang w:eastAsia="en-AU"/>
        </w:rPr>
        <w:t xml:space="preserve"> is the preferred candidate area for future rural residential housing in Denman and that there is strategic justification and support for the release of the land in the short term.  The recommendations of the MRRRS, as they relate to Denman, can be achieved through support of this </w:t>
      </w:r>
      <w:r w:rsidR="006C7B49">
        <w:rPr>
          <w:rFonts w:asciiTheme="majorHAnsi" w:eastAsia="Times New Roman" w:hAnsiTheme="majorHAnsi" w:cs="Times New Roman"/>
          <w:color w:val="000000"/>
          <w:sz w:val="22"/>
          <w:lang w:eastAsia="en-AU"/>
        </w:rPr>
        <w:t>Planning Proposal</w:t>
      </w:r>
      <w:r w:rsidRPr="00D21F75">
        <w:rPr>
          <w:rFonts w:asciiTheme="majorHAnsi" w:eastAsia="Times New Roman" w:hAnsiTheme="majorHAnsi" w:cs="Times New Roman"/>
          <w:color w:val="000000"/>
          <w:sz w:val="22"/>
          <w:lang w:eastAsia="en-AU"/>
        </w:rPr>
        <w:t xml:space="preserve">.   </w:t>
      </w:r>
    </w:p>
    <w:p w:rsidR="00BA7A84" w:rsidRPr="00D21F75" w:rsidRDefault="00BA7A84" w:rsidP="005D16F6">
      <w:pPr>
        <w:spacing w:before="240" w:after="240" w:line="280" w:lineRule="exact"/>
        <w:contextualSpacing/>
        <w:jc w:val="both"/>
        <w:rPr>
          <w:rFonts w:asciiTheme="majorHAnsi" w:eastAsia="Times New Roman" w:hAnsiTheme="majorHAnsi" w:cs="Times New Roman"/>
          <w:b/>
          <w:color w:val="000000"/>
          <w:sz w:val="22"/>
          <w:lang w:eastAsia="en-AU"/>
        </w:rPr>
      </w:pPr>
    </w:p>
    <w:p w:rsidR="005D16F6" w:rsidRPr="00D21F75" w:rsidRDefault="005D16F6" w:rsidP="00D21F75">
      <w:pPr>
        <w:spacing w:before="120" w:after="120" w:line="280" w:lineRule="exact"/>
        <w:jc w:val="both"/>
        <w:rPr>
          <w:rFonts w:asciiTheme="majorHAnsi" w:eastAsia="Times New Roman" w:hAnsiTheme="majorHAnsi" w:cs="Times New Roman"/>
          <w:b/>
          <w:color w:val="000000"/>
          <w:sz w:val="23"/>
          <w:szCs w:val="23"/>
          <w:lang w:eastAsia="en-AU"/>
        </w:rPr>
      </w:pPr>
      <w:r w:rsidRPr="00D21F75">
        <w:rPr>
          <w:rFonts w:asciiTheme="majorHAnsi" w:eastAsia="Times New Roman" w:hAnsiTheme="majorHAnsi" w:cs="Times New Roman"/>
          <w:b/>
          <w:color w:val="000000"/>
          <w:sz w:val="23"/>
          <w:szCs w:val="23"/>
          <w:lang w:eastAsia="en-AU"/>
        </w:rPr>
        <w:t xml:space="preserve">Community Strategic Plan 2013-2023 </w:t>
      </w:r>
    </w:p>
    <w:p w:rsidR="005D16F6" w:rsidRPr="00D21F75" w:rsidRDefault="005D16F6" w:rsidP="004142C3">
      <w:pPr>
        <w:spacing w:after="120" w:line="280" w:lineRule="exact"/>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The </w:t>
      </w:r>
      <w:r w:rsidR="006C7B49">
        <w:rPr>
          <w:rFonts w:asciiTheme="majorHAnsi" w:eastAsia="Times New Roman" w:hAnsiTheme="majorHAnsi" w:cs="Times New Roman"/>
          <w:color w:val="000000"/>
          <w:sz w:val="22"/>
          <w:lang w:eastAsia="en-AU"/>
        </w:rPr>
        <w:t>Planning Proposal</w:t>
      </w:r>
      <w:r w:rsidRPr="00D21F75">
        <w:rPr>
          <w:rFonts w:asciiTheme="majorHAnsi" w:eastAsia="Times New Roman" w:hAnsiTheme="majorHAnsi" w:cs="Times New Roman"/>
          <w:color w:val="000000"/>
          <w:sz w:val="22"/>
          <w:lang w:eastAsia="en-AU"/>
        </w:rPr>
        <w:t xml:space="preserve"> is consistent with Council’s Community Strategic Plan 2013-2023 and the following </w:t>
      </w:r>
      <w:r w:rsidR="00AB02B0" w:rsidRPr="00D21F75">
        <w:rPr>
          <w:rFonts w:asciiTheme="majorHAnsi" w:eastAsia="Times New Roman" w:hAnsiTheme="majorHAnsi" w:cs="Times New Roman"/>
          <w:color w:val="000000"/>
          <w:sz w:val="22"/>
          <w:lang w:eastAsia="en-AU"/>
        </w:rPr>
        <w:t xml:space="preserve">strategies are </w:t>
      </w:r>
      <w:r w:rsidRPr="00D21F75">
        <w:rPr>
          <w:rFonts w:asciiTheme="majorHAnsi" w:eastAsia="Times New Roman" w:hAnsiTheme="majorHAnsi" w:cs="Times New Roman"/>
          <w:color w:val="000000"/>
          <w:sz w:val="22"/>
          <w:lang w:eastAsia="en-AU"/>
        </w:rPr>
        <w:t>particularly relevant to this proposal:</w:t>
      </w:r>
    </w:p>
    <w:p w:rsidR="00AB02B0" w:rsidRPr="00D21F75" w:rsidRDefault="00AB02B0" w:rsidP="0088028A">
      <w:pPr>
        <w:pStyle w:val="ListParagraph"/>
        <w:numPr>
          <w:ilvl w:val="0"/>
          <w:numId w:val="27"/>
        </w:numPr>
        <w:spacing w:after="0"/>
        <w:ind w:left="714" w:hanging="357"/>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Plan for a diverse range of housing types which meet the changing needs of the community.</w:t>
      </w:r>
    </w:p>
    <w:p w:rsidR="00AB02B0" w:rsidRPr="00D21F75" w:rsidRDefault="00AB02B0" w:rsidP="0088028A">
      <w:pPr>
        <w:pStyle w:val="ListParagraph"/>
        <w:numPr>
          <w:ilvl w:val="0"/>
          <w:numId w:val="27"/>
        </w:numPr>
        <w:spacing w:after="0"/>
        <w:ind w:left="714" w:hanging="357"/>
        <w:contextualSpacing w:val="0"/>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Provide sufficient serviced land for residential purposes.</w:t>
      </w:r>
    </w:p>
    <w:p w:rsidR="00AB02B0" w:rsidRPr="00D21F75" w:rsidRDefault="00AB02B0" w:rsidP="0088028A">
      <w:pPr>
        <w:spacing w:before="240" w:after="0" w:line="280" w:lineRule="exact"/>
        <w:contextualSpacing/>
        <w:jc w:val="both"/>
        <w:rPr>
          <w:rFonts w:asciiTheme="majorHAnsi" w:eastAsia="Times New Roman" w:hAnsiTheme="majorHAnsi" w:cs="Times New Roman"/>
          <w:color w:val="000000"/>
          <w:sz w:val="19"/>
          <w:lang w:eastAsia="en-AU"/>
        </w:rPr>
      </w:pPr>
    </w:p>
    <w:p w:rsidR="009300DA" w:rsidRPr="00D21F75" w:rsidRDefault="009757DA" w:rsidP="008F2EBB">
      <w:pPr>
        <w:spacing w:before="240" w:after="240" w:line="280" w:lineRule="exact"/>
        <w:contextualSpacing/>
        <w:jc w:val="both"/>
        <w:rPr>
          <w:rFonts w:asciiTheme="majorHAnsi" w:eastAsia="Times New Roman" w:hAnsiTheme="majorHAnsi" w:cs="Times New Roman"/>
          <w:b/>
          <w:i/>
          <w:color w:val="000000"/>
          <w:sz w:val="23"/>
          <w:szCs w:val="23"/>
          <w:lang w:eastAsia="en-AU"/>
        </w:rPr>
      </w:pPr>
      <w:r w:rsidRPr="00D21F75">
        <w:rPr>
          <w:rFonts w:asciiTheme="majorHAnsi" w:eastAsia="Times New Roman" w:hAnsiTheme="majorHAnsi" w:cs="Times New Roman"/>
          <w:b/>
          <w:i/>
          <w:color w:val="000000"/>
          <w:sz w:val="23"/>
          <w:szCs w:val="23"/>
          <w:lang w:eastAsia="en-AU"/>
        </w:rPr>
        <w:t xml:space="preserve">Is the </w:t>
      </w:r>
      <w:r w:rsidR="006C7B49">
        <w:rPr>
          <w:rFonts w:asciiTheme="majorHAnsi" w:eastAsia="Times New Roman" w:hAnsiTheme="majorHAnsi" w:cs="Times New Roman"/>
          <w:b/>
          <w:i/>
          <w:color w:val="000000"/>
          <w:sz w:val="23"/>
          <w:szCs w:val="23"/>
          <w:lang w:eastAsia="en-AU"/>
        </w:rPr>
        <w:t>Planning Proposal</w:t>
      </w:r>
      <w:r w:rsidRPr="00D21F75">
        <w:rPr>
          <w:rFonts w:asciiTheme="majorHAnsi" w:eastAsia="Times New Roman" w:hAnsiTheme="majorHAnsi" w:cs="Times New Roman"/>
          <w:b/>
          <w:i/>
          <w:color w:val="000000"/>
          <w:sz w:val="23"/>
          <w:szCs w:val="23"/>
          <w:lang w:eastAsia="en-AU"/>
        </w:rPr>
        <w:t xml:space="preserve"> consistent with applicable </w:t>
      </w:r>
      <w:r w:rsidR="005D16F6" w:rsidRPr="00D21F75">
        <w:rPr>
          <w:rFonts w:asciiTheme="majorHAnsi" w:eastAsia="Times New Roman" w:hAnsiTheme="majorHAnsi" w:cs="Times New Roman"/>
          <w:b/>
          <w:i/>
          <w:color w:val="000000"/>
          <w:sz w:val="23"/>
          <w:szCs w:val="23"/>
          <w:lang w:eastAsia="en-AU"/>
        </w:rPr>
        <w:t>State Environmental Planning Policies (SEPP)</w:t>
      </w:r>
      <w:r w:rsidRPr="00D21F75">
        <w:rPr>
          <w:rFonts w:asciiTheme="majorHAnsi" w:eastAsia="Times New Roman" w:hAnsiTheme="majorHAnsi" w:cs="Times New Roman"/>
          <w:b/>
          <w:i/>
          <w:color w:val="000000"/>
          <w:sz w:val="23"/>
          <w:szCs w:val="23"/>
          <w:lang w:eastAsia="en-AU"/>
        </w:rPr>
        <w:t>?</w:t>
      </w:r>
    </w:p>
    <w:p w:rsidR="007C27D5" w:rsidRPr="00D21F75" w:rsidRDefault="007C27D5" w:rsidP="008F2EBB">
      <w:pPr>
        <w:spacing w:before="240" w:after="240" w:line="280" w:lineRule="exact"/>
        <w:contextualSpacing/>
        <w:jc w:val="both"/>
        <w:rPr>
          <w:rFonts w:asciiTheme="majorHAnsi" w:eastAsia="Times New Roman" w:hAnsiTheme="majorHAnsi" w:cs="Times New Roman"/>
          <w:color w:val="000000"/>
          <w:sz w:val="19"/>
          <w:lang w:eastAsia="en-AU"/>
        </w:rPr>
      </w:pPr>
    </w:p>
    <w:p w:rsidR="009300DA" w:rsidRPr="00D21F75" w:rsidRDefault="009300DA" w:rsidP="0088028A">
      <w:pPr>
        <w:spacing w:before="240" w:after="120" w:line="280" w:lineRule="exact"/>
        <w:contextualSpacing/>
        <w:jc w:val="both"/>
        <w:rPr>
          <w:rFonts w:asciiTheme="majorHAnsi" w:eastAsia="Times New Roman" w:hAnsiTheme="majorHAnsi" w:cs="Times New Roman"/>
          <w:color w:val="000000"/>
          <w:sz w:val="22"/>
          <w:lang w:eastAsia="en-AU"/>
        </w:rPr>
      </w:pPr>
      <w:r w:rsidRPr="00D21F75">
        <w:rPr>
          <w:rFonts w:asciiTheme="majorHAnsi" w:eastAsia="Times New Roman" w:hAnsiTheme="majorHAnsi" w:cs="Times New Roman"/>
          <w:color w:val="000000"/>
          <w:sz w:val="22"/>
          <w:lang w:eastAsia="en-AU"/>
        </w:rPr>
        <w:t xml:space="preserve">An assessment of relevant SEPPs against the </w:t>
      </w:r>
      <w:r w:rsidR="006C7B49">
        <w:rPr>
          <w:rFonts w:asciiTheme="majorHAnsi" w:eastAsia="Times New Roman" w:hAnsiTheme="majorHAnsi" w:cs="Times New Roman"/>
          <w:color w:val="000000"/>
          <w:sz w:val="22"/>
          <w:lang w:eastAsia="en-AU"/>
        </w:rPr>
        <w:t>Planning Proposal</w:t>
      </w:r>
      <w:r w:rsidRPr="00D21F75">
        <w:rPr>
          <w:rFonts w:asciiTheme="majorHAnsi" w:eastAsia="Times New Roman" w:hAnsiTheme="majorHAnsi" w:cs="Times New Roman"/>
          <w:color w:val="000000"/>
          <w:sz w:val="22"/>
          <w:lang w:eastAsia="en-AU"/>
        </w:rPr>
        <w:t xml:space="preserve"> is provided in </w:t>
      </w:r>
      <w:r w:rsidRPr="00D21F75">
        <w:rPr>
          <w:rFonts w:asciiTheme="majorHAnsi" w:eastAsia="Times New Roman" w:hAnsiTheme="majorHAnsi" w:cs="Times New Roman"/>
          <w:b/>
          <w:color w:val="000000"/>
          <w:sz w:val="22"/>
          <w:lang w:eastAsia="en-AU"/>
        </w:rPr>
        <w:t>Table 3</w:t>
      </w:r>
      <w:r w:rsidRPr="00D21F75">
        <w:rPr>
          <w:rFonts w:asciiTheme="majorHAnsi" w:eastAsia="Times New Roman" w:hAnsiTheme="majorHAnsi" w:cs="Times New Roman"/>
          <w:color w:val="000000"/>
          <w:sz w:val="22"/>
          <w:lang w:eastAsia="en-AU"/>
        </w:rPr>
        <w:t xml:space="preserve"> below.</w:t>
      </w:r>
    </w:p>
    <w:p w:rsidR="00FD2CF3" w:rsidRPr="0088028A" w:rsidRDefault="00FD2CF3" w:rsidP="008F2EBB">
      <w:pPr>
        <w:spacing w:before="240" w:after="240" w:line="280" w:lineRule="exact"/>
        <w:contextualSpacing/>
        <w:jc w:val="both"/>
        <w:rPr>
          <w:rFonts w:asciiTheme="majorHAnsi" w:eastAsia="Times New Roman" w:hAnsiTheme="majorHAnsi" w:cs="Times New Roman"/>
          <w:b/>
          <w:i/>
          <w:color w:val="000000"/>
          <w:sz w:val="14"/>
          <w:lang w:eastAsia="en-AU"/>
        </w:rPr>
      </w:pPr>
    </w:p>
    <w:p w:rsidR="008F2C46" w:rsidRPr="00D21F75" w:rsidRDefault="008F2EBB" w:rsidP="00FD3363">
      <w:pPr>
        <w:spacing w:before="120" w:after="0"/>
        <w:jc w:val="both"/>
        <w:rPr>
          <w:rFonts w:asciiTheme="majorHAnsi" w:eastAsia="Times New Roman" w:hAnsiTheme="majorHAnsi" w:cs="Times New Roman"/>
          <w:bCs/>
          <w:i/>
          <w:iCs/>
          <w:color w:val="000000"/>
          <w:sz w:val="20"/>
          <w:lang w:eastAsia="en-AU"/>
        </w:rPr>
      </w:pPr>
      <w:r w:rsidRPr="00D21F75">
        <w:rPr>
          <w:rFonts w:asciiTheme="majorHAnsi" w:eastAsia="Times New Roman" w:hAnsiTheme="majorHAnsi" w:cs="Times New Roman"/>
          <w:b/>
          <w:bCs/>
          <w:i/>
          <w:iCs/>
          <w:color w:val="000000"/>
          <w:sz w:val="20"/>
          <w:lang w:eastAsia="en-AU"/>
        </w:rPr>
        <w:t>Table 3</w:t>
      </w:r>
      <w:r w:rsidRPr="00D21F75">
        <w:rPr>
          <w:rFonts w:asciiTheme="majorHAnsi" w:eastAsia="Times New Roman" w:hAnsiTheme="majorHAnsi" w:cs="Times New Roman"/>
          <w:bCs/>
          <w:i/>
          <w:iCs/>
          <w:color w:val="000000"/>
          <w:sz w:val="20"/>
          <w:lang w:eastAsia="en-AU"/>
        </w:rPr>
        <w:t xml:space="preserve">: </w:t>
      </w:r>
      <w:r w:rsidR="00AB02B0" w:rsidRPr="00D21F75">
        <w:rPr>
          <w:rFonts w:asciiTheme="majorHAnsi" w:eastAsia="Times New Roman" w:hAnsiTheme="majorHAnsi" w:cs="Times New Roman"/>
          <w:bCs/>
          <w:i/>
          <w:iCs/>
          <w:color w:val="000000"/>
          <w:sz w:val="20"/>
          <w:lang w:eastAsia="en-AU"/>
        </w:rPr>
        <w:t>Assessment of relevant State Environmental Planning Policies</w:t>
      </w:r>
    </w:p>
    <w:p w:rsidR="00733F2A" w:rsidRPr="002626A8" w:rsidRDefault="00733F2A" w:rsidP="002626A8">
      <w:pPr>
        <w:spacing w:after="0"/>
        <w:contextualSpacing/>
        <w:jc w:val="both"/>
        <w:rPr>
          <w:rFonts w:ascii="Trebuchet MS" w:eastAsia="Times New Roman" w:hAnsi="Trebuchet MS" w:cs="Times New Roman"/>
          <w:bCs/>
          <w:i/>
          <w:iCs/>
          <w:color w:val="000000"/>
          <w:sz w:val="10"/>
          <w:lang w:eastAsia="en-AU"/>
        </w:rPr>
      </w:pPr>
    </w:p>
    <w:tbl>
      <w:tblPr>
        <w:tblW w:w="861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1668"/>
        <w:gridCol w:w="3827"/>
        <w:gridCol w:w="3118"/>
      </w:tblGrid>
      <w:tr w:rsidR="00733F2A" w:rsidRPr="00FD3363" w:rsidTr="0088028A">
        <w:trPr>
          <w:trHeight w:val="397"/>
          <w:tblHeader/>
        </w:trPr>
        <w:tc>
          <w:tcPr>
            <w:tcW w:w="1668" w:type="dxa"/>
            <w:shd w:val="clear" w:color="auto" w:fill="D9D9D9" w:themeFill="background1" w:themeFillShade="D9"/>
            <w:vAlign w:val="bottom"/>
          </w:tcPr>
          <w:p w:rsidR="00733F2A" w:rsidRPr="00FD3363" w:rsidRDefault="00733F2A" w:rsidP="00FD3363">
            <w:pPr>
              <w:spacing w:before="80" w:after="80"/>
              <w:rPr>
                <w:rFonts w:asciiTheme="majorHAnsi" w:hAnsiTheme="majorHAnsi" w:cs="Arial"/>
                <w:b/>
                <w:sz w:val="18"/>
                <w:szCs w:val="16"/>
              </w:rPr>
            </w:pPr>
            <w:r w:rsidRPr="00FD3363">
              <w:rPr>
                <w:rFonts w:asciiTheme="majorHAnsi" w:hAnsiTheme="majorHAnsi" w:cs="Arial"/>
                <w:b/>
                <w:sz w:val="18"/>
                <w:szCs w:val="16"/>
              </w:rPr>
              <w:t>SEPP</w:t>
            </w:r>
          </w:p>
        </w:tc>
        <w:tc>
          <w:tcPr>
            <w:tcW w:w="3827" w:type="dxa"/>
            <w:shd w:val="clear" w:color="auto" w:fill="D9D9D9" w:themeFill="background1" w:themeFillShade="D9"/>
            <w:vAlign w:val="bottom"/>
          </w:tcPr>
          <w:p w:rsidR="00733F2A" w:rsidRPr="00FD3363" w:rsidRDefault="00733F2A" w:rsidP="00FD3363">
            <w:pPr>
              <w:spacing w:before="80" w:after="80"/>
              <w:rPr>
                <w:rFonts w:asciiTheme="majorHAnsi" w:hAnsiTheme="majorHAnsi" w:cs="Arial"/>
                <w:b/>
                <w:sz w:val="18"/>
                <w:szCs w:val="16"/>
              </w:rPr>
            </w:pPr>
            <w:r w:rsidRPr="00FD3363">
              <w:rPr>
                <w:rFonts w:asciiTheme="majorHAnsi" w:hAnsiTheme="majorHAnsi" w:cs="Arial"/>
                <w:b/>
                <w:sz w:val="18"/>
                <w:szCs w:val="16"/>
              </w:rPr>
              <w:t>RELEVANCE</w:t>
            </w:r>
          </w:p>
        </w:tc>
        <w:tc>
          <w:tcPr>
            <w:tcW w:w="3118" w:type="dxa"/>
            <w:shd w:val="clear" w:color="auto" w:fill="D9D9D9" w:themeFill="background1" w:themeFillShade="D9"/>
            <w:vAlign w:val="bottom"/>
          </w:tcPr>
          <w:p w:rsidR="00733F2A" w:rsidRPr="00FD3363" w:rsidRDefault="00733F2A" w:rsidP="00FD3363">
            <w:pPr>
              <w:spacing w:before="80" w:after="80"/>
              <w:rPr>
                <w:rFonts w:asciiTheme="majorHAnsi" w:hAnsiTheme="majorHAnsi" w:cs="Arial"/>
                <w:b/>
                <w:sz w:val="18"/>
                <w:szCs w:val="16"/>
              </w:rPr>
            </w:pPr>
            <w:r w:rsidRPr="00FD3363">
              <w:rPr>
                <w:rFonts w:asciiTheme="majorHAnsi" w:hAnsiTheme="majorHAnsi" w:cs="Arial"/>
                <w:b/>
                <w:sz w:val="18"/>
                <w:szCs w:val="16"/>
              </w:rPr>
              <w:t>CONSISTENCY AND IMPLICATIONS</w:t>
            </w:r>
          </w:p>
        </w:tc>
      </w:tr>
      <w:tr w:rsidR="00733F2A" w:rsidRPr="00FD3363" w:rsidTr="0088028A">
        <w:trPr>
          <w:trHeight w:val="397"/>
        </w:trPr>
        <w:tc>
          <w:tcPr>
            <w:tcW w:w="1668" w:type="dxa"/>
          </w:tcPr>
          <w:p w:rsidR="00733F2A" w:rsidRPr="00FD3363" w:rsidRDefault="00EB558E"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SEPP 1 — </w:t>
            </w:r>
            <w:r w:rsidR="00733F2A" w:rsidRPr="00FD3363">
              <w:rPr>
                <w:rFonts w:asciiTheme="majorHAnsi" w:hAnsiTheme="majorHAnsi" w:cs="Arial"/>
                <w:sz w:val="16"/>
                <w:szCs w:val="16"/>
              </w:rPr>
              <w:t>Development Standards</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makes development standards more flexible. It allows councils to approve a development proposal that does not comply with a set standard where this can be shown to be unreasonable or unnecessary.</w:t>
            </w:r>
          </w:p>
        </w:tc>
        <w:tc>
          <w:tcPr>
            <w:tcW w:w="3118"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This does not apply to the Muswellbrook LGA as per Clause 1.9 (2) of the MLEP 2009.</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21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Caravan Parks</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for development for caravan parks.</w:t>
            </w:r>
          </w:p>
        </w:tc>
        <w:tc>
          <w:tcPr>
            <w:tcW w:w="3118" w:type="dxa"/>
          </w:tcPr>
          <w:p w:rsidR="00FD3363"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30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Intensive Agriculture</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considerations for consent for intensive agriculture.</w:t>
            </w:r>
          </w:p>
        </w:tc>
        <w:tc>
          <w:tcPr>
            <w:tcW w:w="3118"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32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Urban Consolidation (Redevelopment of Urban Land)</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makes provision for the redevelopment of urban land suitable for multi-unit housing and related development.</w:t>
            </w:r>
          </w:p>
        </w:tc>
        <w:tc>
          <w:tcPr>
            <w:tcW w:w="3118"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pacing w:val="-5"/>
                <w:sz w:val="16"/>
                <w:szCs w:val="16"/>
              </w:rPr>
            </w:pPr>
            <w:r w:rsidRPr="00FD3363">
              <w:rPr>
                <w:rFonts w:asciiTheme="majorHAnsi" w:hAnsiTheme="majorHAnsi" w:cs="Arial"/>
                <w:spacing w:val="-5"/>
                <w:sz w:val="16"/>
                <w:szCs w:val="16"/>
              </w:rPr>
              <w:t xml:space="preserve">SEPP 33 </w:t>
            </w:r>
            <w:r w:rsidR="00EB558E" w:rsidRPr="00FD3363">
              <w:rPr>
                <w:rFonts w:asciiTheme="majorHAnsi" w:hAnsiTheme="majorHAnsi" w:cs="Arial"/>
                <w:spacing w:val="-5"/>
                <w:sz w:val="16"/>
                <w:szCs w:val="16"/>
              </w:rPr>
              <w:t>—</w:t>
            </w:r>
            <w:r w:rsidRPr="00FD3363">
              <w:rPr>
                <w:rFonts w:asciiTheme="majorHAnsi" w:hAnsiTheme="majorHAnsi" w:cs="Arial"/>
                <w:spacing w:val="-5"/>
                <w:sz w:val="16"/>
                <w:szCs w:val="16"/>
              </w:rPr>
              <w:t xml:space="preserve"> Hazardous and Offensive Development</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considerations for consent for hazardous &amp; offensive development.</w:t>
            </w:r>
          </w:p>
        </w:tc>
        <w:tc>
          <w:tcPr>
            <w:tcW w:w="3118" w:type="dxa"/>
          </w:tcPr>
          <w:p w:rsidR="00733F2A" w:rsidRPr="00FD3363" w:rsidRDefault="00733F2A" w:rsidP="00FD3363">
            <w:pPr>
              <w:spacing w:before="80" w:after="80"/>
              <w:rPr>
                <w:rFonts w:asciiTheme="majorHAnsi" w:hAnsiTheme="majorHAnsi"/>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r w:rsidR="008B3B98">
              <w:rPr>
                <w:rFonts w:asciiTheme="majorHAnsi" w:hAnsiTheme="majorHAnsi" w:cs="Arial"/>
                <w:sz w:val="16"/>
                <w:szCs w:val="16"/>
              </w:rPr>
              <w:t xml:space="preserve"> </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44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Koala Habitat Protection</w:t>
            </w:r>
          </w:p>
        </w:tc>
        <w:tc>
          <w:tcPr>
            <w:tcW w:w="3827" w:type="dxa"/>
          </w:tcPr>
          <w:p w:rsidR="00733F2A" w:rsidRPr="00FD3363" w:rsidRDefault="00733F2A" w:rsidP="0088028A">
            <w:pPr>
              <w:spacing w:before="80" w:after="80"/>
              <w:rPr>
                <w:rFonts w:asciiTheme="majorHAnsi" w:hAnsiTheme="majorHAnsi" w:cs="Arial"/>
                <w:spacing w:val="-3"/>
                <w:sz w:val="16"/>
                <w:szCs w:val="16"/>
              </w:rPr>
            </w:pPr>
            <w:r w:rsidRPr="00FD3363">
              <w:rPr>
                <w:rFonts w:asciiTheme="majorHAnsi" w:hAnsiTheme="majorHAnsi" w:cs="Arial"/>
                <w:spacing w:val="-3"/>
                <w:sz w:val="16"/>
                <w:szCs w:val="16"/>
              </w:rPr>
              <w:t>This SEPP applies to land across NSW that is greater than 1 hectare and is not a National Park or Forestry Reserve. The SEPP encourages the conservation and management of natural vegetation areas that provide habitat for koalas to ensure permanent free-living populations will be maintained over their</w:t>
            </w:r>
            <w:r w:rsidR="0088028A">
              <w:rPr>
                <w:rFonts w:asciiTheme="majorHAnsi" w:hAnsiTheme="majorHAnsi" w:cs="Arial"/>
                <w:spacing w:val="-3"/>
                <w:sz w:val="16"/>
                <w:szCs w:val="16"/>
              </w:rPr>
              <w:t xml:space="preserve"> </w:t>
            </w:r>
            <w:r w:rsidRPr="00FD3363">
              <w:rPr>
                <w:rFonts w:asciiTheme="majorHAnsi" w:hAnsiTheme="majorHAnsi" w:cs="Arial"/>
                <w:spacing w:val="-3"/>
                <w:sz w:val="16"/>
                <w:szCs w:val="16"/>
              </w:rPr>
              <w:t>present range.</w:t>
            </w:r>
          </w:p>
        </w:tc>
        <w:tc>
          <w:tcPr>
            <w:tcW w:w="3118" w:type="dxa"/>
          </w:tcPr>
          <w:p w:rsidR="00733F2A" w:rsidRPr="00FD3363" w:rsidRDefault="00733F2A" w:rsidP="00FD3363">
            <w:pPr>
              <w:spacing w:before="80" w:after="80"/>
              <w:rPr>
                <w:rFonts w:asciiTheme="majorHAnsi" w:hAnsiTheme="majorHAnsi"/>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5900A3" w:rsidRDefault="00733F2A" w:rsidP="00FD3363">
            <w:pPr>
              <w:keepLines/>
              <w:spacing w:before="80" w:after="80"/>
              <w:rPr>
                <w:rFonts w:asciiTheme="majorHAnsi" w:hAnsiTheme="majorHAnsi" w:cs="Arial"/>
                <w:sz w:val="16"/>
                <w:szCs w:val="16"/>
              </w:rPr>
            </w:pPr>
            <w:r w:rsidRPr="005900A3">
              <w:rPr>
                <w:rFonts w:asciiTheme="majorHAnsi" w:hAnsiTheme="majorHAnsi" w:cs="Arial"/>
                <w:sz w:val="16"/>
                <w:szCs w:val="16"/>
              </w:rPr>
              <w:lastRenderedPageBreak/>
              <w:t xml:space="preserve">SEPP 55 </w:t>
            </w:r>
            <w:r w:rsidR="00EB558E" w:rsidRPr="005900A3">
              <w:rPr>
                <w:rFonts w:asciiTheme="majorHAnsi" w:hAnsiTheme="majorHAnsi" w:cs="Arial"/>
                <w:sz w:val="16"/>
                <w:szCs w:val="16"/>
              </w:rPr>
              <w:t>—</w:t>
            </w:r>
            <w:r w:rsidRPr="005900A3">
              <w:rPr>
                <w:rFonts w:asciiTheme="majorHAnsi" w:hAnsiTheme="majorHAnsi" w:cs="Arial"/>
                <w:sz w:val="16"/>
                <w:szCs w:val="16"/>
              </w:rPr>
              <w:t xml:space="preserve"> Remediation of Land</w:t>
            </w:r>
          </w:p>
        </w:tc>
        <w:tc>
          <w:tcPr>
            <w:tcW w:w="3827" w:type="dxa"/>
          </w:tcPr>
          <w:p w:rsidR="00733F2A" w:rsidRPr="005900A3" w:rsidRDefault="00733F2A" w:rsidP="00FD3363">
            <w:pPr>
              <w:spacing w:before="80" w:after="80"/>
              <w:rPr>
                <w:rFonts w:asciiTheme="majorHAnsi" w:hAnsiTheme="majorHAnsi"/>
                <w:sz w:val="16"/>
                <w:szCs w:val="16"/>
              </w:rPr>
            </w:pPr>
            <w:r w:rsidRPr="005900A3">
              <w:rPr>
                <w:rFonts w:asciiTheme="majorHAnsi" w:hAnsiTheme="majorHAnsi"/>
                <w:sz w:val="16"/>
                <w:szCs w:val="16"/>
              </w:rPr>
              <w:t>This SEPP applies to land across NSW and states that land must not be developed if it is unsuitable for a proposed use because of contamination.</w:t>
            </w:r>
          </w:p>
        </w:tc>
        <w:tc>
          <w:tcPr>
            <w:tcW w:w="3118" w:type="dxa"/>
          </w:tcPr>
          <w:p w:rsidR="005900A3" w:rsidRPr="005900A3" w:rsidRDefault="005900A3" w:rsidP="005900A3">
            <w:pPr>
              <w:spacing w:before="80" w:after="80"/>
              <w:rPr>
                <w:rFonts w:asciiTheme="majorHAnsi" w:hAnsiTheme="majorHAnsi" w:cs="Arial"/>
                <w:spacing w:val="-3"/>
                <w:sz w:val="16"/>
                <w:szCs w:val="16"/>
              </w:rPr>
            </w:pPr>
            <w:r w:rsidRPr="005900A3">
              <w:rPr>
                <w:rFonts w:asciiTheme="majorHAnsi" w:hAnsiTheme="majorHAnsi" w:cs="Arial"/>
                <w:spacing w:val="-3"/>
                <w:sz w:val="16"/>
                <w:szCs w:val="16"/>
              </w:rPr>
              <w:t>An Environmental Site Assessment 2015 (</w:t>
            </w:r>
            <w:r w:rsidRPr="00B24FC6">
              <w:rPr>
                <w:rFonts w:asciiTheme="majorHAnsi" w:hAnsiTheme="majorHAnsi" w:cs="Arial"/>
                <w:b/>
                <w:spacing w:val="-3"/>
                <w:sz w:val="16"/>
                <w:szCs w:val="16"/>
              </w:rPr>
              <w:t>Appendix 4</w:t>
            </w:r>
            <w:r w:rsidRPr="005900A3">
              <w:rPr>
                <w:rFonts w:asciiTheme="majorHAnsi" w:hAnsiTheme="majorHAnsi" w:cs="Arial"/>
                <w:spacing w:val="-3"/>
                <w:sz w:val="16"/>
                <w:szCs w:val="16"/>
              </w:rPr>
              <w:t xml:space="preserve">) indicated that potentially contaminating activities were limited to pesticide and herbicide use associated with grape growing, possible fertiliser use, some livestock aggregation areas and possible petrol or diesel water pump.  </w:t>
            </w:r>
          </w:p>
          <w:p w:rsidR="00733F2A" w:rsidRPr="005900A3" w:rsidRDefault="005900A3" w:rsidP="005900A3">
            <w:pPr>
              <w:spacing w:before="80" w:after="80"/>
              <w:rPr>
                <w:rFonts w:asciiTheme="majorHAnsi" w:hAnsiTheme="majorHAnsi" w:cs="Arial"/>
                <w:spacing w:val="-3"/>
                <w:sz w:val="16"/>
                <w:szCs w:val="16"/>
              </w:rPr>
            </w:pPr>
            <w:r w:rsidRPr="005900A3">
              <w:rPr>
                <w:rFonts w:asciiTheme="majorHAnsi" w:hAnsiTheme="majorHAnsi" w:cs="Arial"/>
                <w:spacing w:val="-3"/>
                <w:sz w:val="16"/>
                <w:szCs w:val="16"/>
              </w:rPr>
              <w:t>Zinc, Boron and Copper were measured in concentrations in excess of the ecological criteria but well within human health criteria. The assessment recommended that the site has been adequately characterised and is suitable for the proposed change in land use.</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64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Advertising and Signage</w:t>
            </w:r>
          </w:p>
        </w:tc>
        <w:tc>
          <w:tcPr>
            <w:tcW w:w="3827" w:type="dxa"/>
          </w:tcPr>
          <w:p w:rsidR="00733F2A" w:rsidRPr="00FD3363" w:rsidRDefault="00733F2A" w:rsidP="00FD3363">
            <w:pPr>
              <w:spacing w:before="80" w:after="80"/>
              <w:rPr>
                <w:rFonts w:asciiTheme="majorHAnsi" w:hAnsiTheme="majorHAnsi" w:cs="Arial"/>
                <w:spacing w:val="-4"/>
                <w:sz w:val="16"/>
                <w:szCs w:val="16"/>
              </w:rPr>
            </w:pPr>
            <w:r w:rsidRPr="00FD3363">
              <w:rPr>
                <w:rFonts w:asciiTheme="majorHAnsi" w:hAnsiTheme="majorHAnsi" w:cs="Arial"/>
                <w:spacing w:val="-4"/>
                <w:sz w:val="16"/>
                <w:szCs w:val="16"/>
              </w:rPr>
              <w:t>The SEPP aims to ensure that outdoor advertising is compatible with the desired amenity and visual character of an area, provides effective communication in suitable locations and is of high quality design and finish.</w:t>
            </w:r>
          </w:p>
        </w:tc>
        <w:tc>
          <w:tcPr>
            <w:tcW w:w="3118" w:type="dxa"/>
          </w:tcPr>
          <w:p w:rsidR="00733F2A" w:rsidRPr="00FD3363" w:rsidRDefault="00733F2A" w:rsidP="00FD3363">
            <w:pPr>
              <w:spacing w:before="80" w:after="80"/>
              <w:rPr>
                <w:rFonts w:asciiTheme="majorHAnsi" w:hAnsiTheme="majorHAnsi"/>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 xml:space="preserve">SEPP 65 </w:t>
            </w:r>
            <w:r w:rsidR="00EB558E" w:rsidRPr="00FD3363">
              <w:rPr>
                <w:rFonts w:asciiTheme="majorHAnsi" w:hAnsiTheme="majorHAnsi" w:cs="Arial"/>
                <w:sz w:val="16"/>
                <w:szCs w:val="16"/>
              </w:rPr>
              <w:t>—</w:t>
            </w:r>
            <w:r w:rsidRPr="00FD3363">
              <w:rPr>
                <w:rFonts w:asciiTheme="majorHAnsi" w:hAnsiTheme="majorHAnsi" w:cs="Arial"/>
                <w:sz w:val="16"/>
                <w:szCs w:val="16"/>
              </w:rPr>
              <w:t xml:space="preserve"> Design Quality of Residential Flat Development</w:t>
            </w:r>
          </w:p>
        </w:tc>
        <w:tc>
          <w:tcPr>
            <w:tcW w:w="3827" w:type="dxa"/>
          </w:tcPr>
          <w:p w:rsidR="00733F2A" w:rsidRPr="00FD3363" w:rsidRDefault="00733F2A" w:rsidP="00FD3363">
            <w:pPr>
              <w:spacing w:before="80" w:after="80"/>
              <w:rPr>
                <w:rFonts w:asciiTheme="majorHAnsi" w:hAnsiTheme="majorHAnsi" w:cs="Arial"/>
                <w:spacing w:val="-4"/>
                <w:sz w:val="16"/>
                <w:szCs w:val="16"/>
              </w:rPr>
            </w:pPr>
            <w:r w:rsidRPr="00FD3363">
              <w:rPr>
                <w:rFonts w:asciiTheme="majorHAnsi" w:hAnsiTheme="majorHAnsi" w:cs="Arial"/>
                <w:spacing w:val="-4"/>
                <w:sz w:val="16"/>
                <w:szCs w:val="16"/>
              </w:rPr>
              <w:t>The SEPP relates to residential flat development across the state through the application of a series of design principles. Provides for the establishment of Design Review Panels to provide independent expert advice to councils on the merit of residential flat development.</w:t>
            </w:r>
          </w:p>
        </w:tc>
        <w:tc>
          <w:tcPr>
            <w:tcW w:w="3118" w:type="dxa"/>
          </w:tcPr>
          <w:p w:rsidR="00733F2A" w:rsidRPr="00FD3363" w:rsidRDefault="00733F2A" w:rsidP="00FD3363">
            <w:pPr>
              <w:spacing w:before="80" w:after="80"/>
              <w:rPr>
                <w:rFonts w:asciiTheme="majorHAnsi" w:hAnsiTheme="majorHAnsi"/>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Housing for Seniors or People with a Disability 2004</w:t>
            </w:r>
          </w:p>
        </w:tc>
        <w:tc>
          <w:tcPr>
            <w:tcW w:w="3827" w:type="dxa"/>
          </w:tcPr>
          <w:p w:rsidR="00733F2A" w:rsidRPr="00FD3363" w:rsidRDefault="00733F2A" w:rsidP="00FD3363">
            <w:pPr>
              <w:spacing w:before="80" w:after="80"/>
              <w:rPr>
                <w:rFonts w:asciiTheme="majorHAnsi" w:hAnsiTheme="majorHAnsi" w:cs="Arial"/>
                <w:spacing w:val="-4"/>
                <w:sz w:val="16"/>
                <w:szCs w:val="16"/>
              </w:rPr>
            </w:pPr>
            <w:r w:rsidRPr="00FD3363">
              <w:rPr>
                <w:rFonts w:asciiTheme="majorHAnsi" w:hAnsiTheme="majorHAnsi" w:cs="Arial"/>
                <w:spacing w:val="-4"/>
                <w:sz w:val="16"/>
                <w:szCs w:val="16"/>
              </w:rPr>
              <w:t>The SEPP aims to encourage provision of housing for seniors, including residential care facilities. The SEPP provides development standards.</w:t>
            </w:r>
          </w:p>
        </w:tc>
        <w:tc>
          <w:tcPr>
            <w:tcW w:w="3118" w:type="dxa"/>
          </w:tcPr>
          <w:p w:rsidR="00733F2A" w:rsidRPr="00FD3363" w:rsidRDefault="00733F2A" w:rsidP="00FD3363">
            <w:pPr>
              <w:spacing w:before="80" w:after="80"/>
              <w:rPr>
                <w:rFonts w:asciiTheme="majorHAnsi" w:hAnsiTheme="majorHAnsi"/>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r w:rsidRPr="00FD3363">
              <w:rPr>
                <w:rFonts w:asciiTheme="majorHAnsi" w:hAnsiTheme="majorHAnsi"/>
                <w:sz w:val="16"/>
                <w:szCs w:val="16"/>
              </w:rPr>
              <w:t xml:space="preserve">.  </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Building Sustainability Index: BASIX 2004</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for the implementation of BASIX throughout the State.</w:t>
            </w:r>
          </w:p>
        </w:tc>
        <w:tc>
          <w:tcPr>
            <w:tcW w:w="3118"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490DE9" w:rsidRDefault="00733F2A" w:rsidP="00FD3363">
            <w:pPr>
              <w:keepLines/>
              <w:spacing w:before="80" w:after="80"/>
              <w:rPr>
                <w:rFonts w:asciiTheme="majorHAnsi" w:hAnsiTheme="majorHAnsi" w:cs="Arial"/>
                <w:sz w:val="16"/>
                <w:szCs w:val="16"/>
              </w:rPr>
            </w:pPr>
            <w:r w:rsidRPr="00490DE9">
              <w:rPr>
                <w:rFonts w:asciiTheme="majorHAnsi" w:hAnsiTheme="majorHAnsi" w:cs="Arial"/>
                <w:sz w:val="16"/>
                <w:szCs w:val="16"/>
              </w:rPr>
              <w:t>Mining, Petroleum Production &amp; Extractive Industries 2007</w:t>
            </w:r>
          </w:p>
        </w:tc>
        <w:tc>
          <w:tcPr>
            <w:tcW w:w="3827" w:type="dxa"/>
          </w:tcPr>
          <w:p w:rsidR="00733F2A" w:rsidRPr="00490DE9" w:rsidRDefault="00733F2A" w:rsidP="00FD3363">
            <w:pPr>
              <w:spacing w:before="80" w:after="80"/>
              <w:rPr>
                <w:rFonts w:asciiTheme="majorHAnsi" w:hAnsiTheme="majorHAnsi" w:cs="Arial"/>
                <w:sz w:val="16"/>
                <w:szCs w:val="16"/>
              </w:rPr>
            </w:pPr>
            <w:r w:rsidRPr="00490DE9">
              <w:rPr>
                <w:rFonts w:asciiTheme="majorHAnsi" w:hAnsiTheme="majorHAnsi" w:cs="Arial"/>
                <w:sz w:val="16"/>
                <w:szCs w:val="16"/>
              </w:rPr>
              <w:t>The SEPP aims to provide proper management of mineral, petroleum and extractive material resources and ESD.</w:t>
            </w:r>
          </w:p>
        </w:tc>
        <w:tc>
          <w:tcPr>
            <w:tcW w:w="3118" w:type="dxa"/>
          </w:tcPr>
          <w:p w:rsidR="00733F2A" w:rsidRPr="00490DE9" w:rsidRDefault="004A78E8" w:rsidP="00FD3363">
            <w:pPr>
              <w:spacing w:before="80" w:after="80"/>
              <w:rPr>
                <w:rFonts w:asciiTheme="majorHAnsi" w:hAnsiTheme="majorHAnsi" w:cs="Arial"/>
                <w:spacing w:val="-5"/>
                <w:sz w:val="16"/>
                <w:szCs w:val="16"/>
              </w:rPr>
            </w:pPr>
            <w:r w:rsidRPr="00490DE9">
              <w:rPr>
                <w:rFonts w:asciiTheme="majorHAnsi" w:hAnsiTheme="majorHAnsi" w:cs="Arial"/>
                <w:spacing w:val="-5"/>
                <w:sz w:val="16"/>
                <w:szCs w:val="16"/>
              </w:rPr>
              <w:t xml:space="preserve">The site is located </w:t>
            </w:r>
            <w:r w:rsidR="00BA7A84" w:rsidRPr="00490DE9">
              <w:rPr>
                <w:rFonts w:asciiTheme="majorHAnsi" w:hAnsiTheme="majorHAnsi" w:cs="Arial"/>
                <w:spacing w:val="-5"/>
                <w:sz w:val="16"/>
                <w:szCs w:val="16"/>
              </w:rPr>
              <w:t>within mine</w:t>
            </w:r>
            <w:r w:rsidRPr="00490DE9">
              <w:rPr>
                <w:rFonts w:asciiTheme="majorHAnsi" w:hAnsiTheme="majorHAnsi" w:cs="Arial"/>
                <w:spacing w:val="-5"/>
                <w:sz w:val="16"/>
                <w:szCs w:val="16"/>
              </w:rPr>
              <w:t xml:space="preserve"> subsidence </w:t>
            </w:r>
            <w:r w:rsidR="00BA7A84" w:rsidRPr="00490DE9">
              <w:rPr>
                <w:rFonts w:asciiTheme="majorHAnsi" w:hAnsiTheme="majorHAnsi" w:cs="Arial"/>
                <w:spacing w:val="-5"/>
                <w:sz w:val="16"/>
                <w:szCs w:val="16"/>
              </w:rPr>
              <w:t xml:space="preserve">district </w:t>
            </w:r>
            <w:r w:rsidRPr="00490DE9">
              <w:rPr>
                <w:rFonts w:asciiTheme="majorHAnsi" w:hAnsiTheme="majorHAnsi" w:cs="Arial"/>
                <w:spacing w:val="-5"/>
                <w:sz w:val="16"/>
                <w:szCs w:val="16"/>
              </w:rPr>
              <w:t>and</w:t>
            </w:r>
            <w:r w:rsidR="00E2361A" w:rsidRPr="00490DE9">
              <w:rPr>
                <w:rFonts w:asciiTheme="majorHAnsi" w:hAnsiTheme="majorHAnsi" w:cs="Arial"/>
                <w:spacing w:val="-5"/>
                <w:sz w:val="16"/>
                <w:szCs w:val="16"/>
              </w:rPr>
              <w:t xml:space="preserve"> future approval would be r</w:t>
            </w:r>
            <w:r w:rsidR="00616ED0">
              <w:rPr>
                <w:rFonts w:asciiTheme="majorHAnsi" w:hAnsiTheme="majorHAnsi" w:cs="Arial"/>
                <w:spacing w:val="-5"/>
                <w:sz w:val="16"/>
                <w:szCs w:val="16"/>
              </w:rPr>
              <w:t>equired for subdivision by Mine</w:t>
            </w:r>
            <w:r w:rsidR="00E2361A" w:rsidRPr="00490DE9">
              <w:rPr>
                <w:rFonts w:asciiTheme="majorHAnsi" w:hAnsiTheme="majorHAnsi" w:cs="Arial"/>
                <w:spacing w:val="-5"/>
                <w:sz w:val="16"/>
                <w:szCs w:val="16"/>
              </w:rPr>
              <w:t xml:space="preserve"> Subsidence Board. </w:t>
            </w:r>
            <w:r w:rsidR="001A41FF" w:rsidRPr="00490DE9">
              <w:rPr>
                <w:rFonts w:asciiTheme="majorHAnsi" w:hAnsiTheme="majorHAnsi" w:cs="Arial"/>
                <w:spacing w:val="-5"/>
                <w:sz w:val="16"/>
                <w:szCs w:val="16"/>
              </w:rPr>
              <w:t>Given the proximity of the site to the existing Denman Village it is considered highly unlikely that the land would be suitable for mining purposes.</w:t>
            </w:r>
            <w:r w:rsidR="00E2361A" w:rsidRPr="00490DE9">
              <w:rPr>
                <w:rFonts w:asciiTheme="majorHAnsi" w:hAnsiTheme="majorHAnsi" w:cs="Arial"/>
                <w:spacing w:val="-5"/>
                <w:sz w:val="16"/>
                <w:szCs w:val="16"/>
              </w:rPr>
              <w:t xml:space="preserve"> </w:t>
            </w:r>
          </w:p>
          <w:p w:rsidR="00BA7A84" w:rsidRPr="00490DE9" w:rsidRDefault="00616ED0" w:rsidP="002626A8">
            <w:pPr>
              <w:spacing w:before="80" w:after="80"/>
              <w:rPr>
                <w:rFonts w:asciiTheme="majorHAnsi" w:hAnsiTheme="majorHAnsi" w:cs="Arial"/>
                <w:spacing w:val="-5"/>
                <w:sz w:val="16"/>
                <w:szCs w:val="16"/>
              </w:rPr>
            </w:pPr>
            <w:r>
              <w:rPr>
                <w:rFonts w:asciiTheme="majorHAnsi" w:hAnsiTheme="majorHAnsi" w:cs="Arial"/>
                <w:spacing w:val="-5"/>
                <w:sz w:val="16"/>
                <w:szCs w:val="16"/>
              </w:rPr>
              <w:t>The Mine</w:t>
            </w:r>
            <w:r w:rsidR="00591A94" w:rsidRPr="00490DE9">
              <w:rPr>
                <w:rFonts w:asciiTheme="majorHAnsi" w:hAnsiTheme="majorHAnsi" w:cs="Arial"/>
                <w:spacing w:val="-5"/>
                <w:sz w:val="16"/>
                <w:szCs w:val="16"/>
              </w:rPr>
              <w:t xml:space="preserve"> Subsidence Board </w:t>
            </w:r>
            <w:proofErr w:type="gramStart"/>
            <w:r w:rsidR="00591A94" w:rsidRPr="00490DE9">
              <w:rPr>
                <w:rFonts w:asciiTheme="majorHAnsi" w:hAnsiTheme="majorHAnsi" w:cs="Arial"/>
                <w:spacing w:val="-5"/>
                <w:sz w:val="16"/>
                <w:szCs w:val="16"/>
              </w:rPr>
              <w:t>were</w:t>
            </w:r>
            <w:proofErr w:type="gramEnd"/>
            <w:r w:rsidR="00591A94" w:rsidRPr="00490DE9">
              <w:rPr>
                <w:rFonts w:asciiTheme="majorHAnsi" w:hAnsiTheme="majorHAnsi" w:cs="Arial"/>
                <w:spacing w:val="-5"/>
                <w:sz w:val="16"/>
                <w:szCs w:val="16"/>
              </w:rPr>
              <w:t xml:space="preserve"> consulted and they have no objection to the proposed rezoning, a copy of their subm</w:t>
            </w:r>
            <w:r w:rsidR="008B3B98" w:rsidRPr="00490DE9">
              <w:rPr>
                <w:rFonts w:asciiTheme="majorHAnsi" w:hAnsiTheme="majorHAnsi" w:cs="Arial"/>
                <w:spacing w:val="-5"/>
                <w:sz w:val="16"/>
                <w:szCs w:val="16"/>
              </w:rPr>
              <w:t>ission is included in</w:t>
            </w:r>
            <w:r w:rsidR="004533EE">
              <w:rPr>
                <w:rFonts w:asciiTheme="majorHAnsi" w:hAnsiTheme="majorHAnsi" w:cs="Arial"/>
                <w:spacing w:val="-5"/>
                <w:sz w:val="16"/>
                <w:szCs w:val="16"/>
              </w:rPr>
              <w:t xml:space="preserve">  </w:t>
            </w:r>
            <w:r w:rsidR="008B3B98" w:rsidRPr="00490DE9">
              <w:rPr>
                <w:rFonts w:asciiTheme="majorHAnsi" w:hAnsiTheme="majorHAnsi" w:cs="Arial"/>
                <w:spacing w:val="-5"/>
                <w:sz w:val="16"/>
                <w:szCs w:val="16"/>
              </w:rPr>
              <w:t xml:space="preserve"> </w:t>
            </w:r>
            <w:r w:rsidR="008B3B98" w:rsidRPr="00490DE9">
              <w:rPr>
                <w:rFonts w:asciiTheme="majorHAnsi" w:hAnsiTheme="majorHAnsi" w:cs="Arial"/>
                <w:b/>
                <w:spacing w:val="-5"/>
                <w:sz w:val="16"/>
                <w:szCs w:val="16"/>
              </w:rPr>
              <w:t>Appendix 3</w:t>
            </w:r>
            <w:r w:rsidR="00591A94" w:rsidRPr="00490DE9">
              <w:rPr>
                <w:rFonts w:asciiTheme="majorHAnsi" w:hAnsiTheme="majorHAnsi" w:cs="Arial"/>
                <w:b/>
                <w:spacing w:val="-5"/>
                <w:sz w:val="16"/>
                <w:szCs w:val="16"/>
              </w:rPr>
              <w:t>.</w:t>
            </w:r>
            <w:r w:rsidR="00591A94" w:rsidRPr="00490DE9">
              <w:rPr>
                <w:rFonts w:asciiTheme="majorHAnsi" w:hAnsiTheme="majorHAnsi" w:cs="Arial"/>
                <w:spacing w:val="-5"/>
                <w:sz w:val="16"/>
                <w:szCs w:val="16"/>
              </w:rPr>
              <w:t xml:space="preserve">   NSW Trade &amp; Investment (Resources and Energy) were also consulted and although they initially raised some concern, on review of the full details of the proposal they advised they have no objection to the propos</w:t>
            </w:r>
            <w:r w:rsidR="002626A8">
              <w:rPr>
                <w:rFonts w:asciiTheme="majorHAnsi" w:hAnsiTheme="majorHAnsi" w:cs="Arial"/>
                <w:spacing w:val="-5"/>
                <w:sz w:val="16"/>
                <w:szCs w:val="16"/>
              </w:rPr>
              <w:t>ed rezoning.  Copies of the submissions from NSW Trade &amp; Investment (Resources and Energy) are</w:t>
            </w:r>
            <w:r w:rsidR="00591A94" w:rsidRPr="00490DE9">
              <w:rPr>
                <w:rFonts w:asciiTheme="majorHAnsi" w:hAnsiTheme="majorHAnsi" w:cs="Arial"/>
                <w:spacing w:val="-5"/>
                <w:sz w:val="16"/>
                <w:szCs w:val="16"/>
              </w:rPr>
              <w:t xml:space="preserve"> provided in </w:t>
            </w:r>
            <w:r w:rsidR="008B3B98" w:rsidRPr="00490DE9">
              <w:rPr>
                <w:rFonts w:asciiTheme="majorHAnsi" w:hAnsiTheme="majorHAnsi" w:cs="Arial"/>
                <w:b/>
                <w:spacing w:val="-5"/>
                <w:sz w:val="16"/>
                <w:szCs w:val="16"/>
              </w:rPr>
              <w:t>Appendix 3</w:t>
            </w:r>
            <w:r w:rsidR="00591A94" w:rsidRPr="00490DE9">
              <w:rPr>
                <w:rFonts w:asciiTheme="majorHAnsi" w:hAnsiTheme="majorHAnsi" w:cs="Arial"/>
                <w:b/>
                <w:spacing w:val="-5"/>
                <w:sz w:val="16"/>
                <w:szCs w:val="16"/>
              </w:rPr>
              <w:t>.</w:t>
            </w:r>
          </w:p>
        </w:tc>
      </w:tr>
      <w:tr w:rsidR="00733F2A" w:rsidRPr="00FD3363" w:rsidTr="0088028A">
        <w:trPr>
          <w:trHeight w:val="397"/>
        </w:trPr>
        <w:tc>
          <w:tcPr>
            <w:tcW w:w="1668" w:type="dxa"/>
          </w:tcPr>
          <w:p w:rsidR="00733F2A" w:rsidRPr="00490DE9" w:rsidRDefault="00733F2A" w:rsidP="00FD3363">
            <w:pPr>
              <w:keepLines/>
              <w:spacing w:before="80" w:after="80"/>
              <w:rPr>
                <w:rFonts w:asciiTheme="majorHAnsi" w:hAnsiTheme="majorHAnsi" w:cs="Arial"/>
                <w:sz w:val="16"/>
                <w:szCs w:val="16"/>
              </w:rPr>
            </w:pPr>
            <w:r w:rsidRPr="00490DE9">
              <w:rPr>
                <w:rFonts w:asciiTheme="majorHAnsi" w:hAnsiTheme="majorHAnsi" w:cs="Arial"/>
                <w:sz w:val="16"/>
                <w:szCs w:val="16"/>
              </w:rPr>
              <w:t>Major Development 2005</w:t>
            </w:r>
          </w:p>
        </w:tc>
        <w:tc>
          <w:tcPr>
            <w:tcW w:w="3827" w:type="dxa"/>
          </w:tcPr>
          <w:p w:rsidR="00733F2A" w:rsidRPr="00490DE9" w:rsidRDefault="00733F2A" w:rsidP="00FD3363">
            <w:pPr>
              <w:spacing w:before="80" w:after="80"/>
              <w:rPr>
                <w:rFonts w:asciiTheme="majorHAnsi" w:hAnsiTheme="majorHAnsi" w:cs="Arial"/>
                <w:spacing w:val="-5"/>
                <w:sz w:val="16"/>
                <w:szCs w:val="16"/>
              </w:rPr>
            </w:pPr>
            <w:r w:rsidRPr="00490DE9">
              <w:rPr>
                <w:rFonts w:asciiTheme="majorHAnsi" w:hAnsiTheme="majorHAnsi" w:cs="Arial"/>
                <w:spacing w:val="-5"/>
                <w:sz w:val="16"/>
                <w:szCs w:val="16"/>
              </w:rPr>
              <w:t>The SEPP defines certain developments that are major projects to be assessed under Part 3A of the Environmental Planning and Assessment Act 1979 and determined by the Minister for Planning. It also provides planning provisions for State significant sites. In addition, the SEPP identifies the council consent authority functions that may be carried out by Joint Regional Planning Panels (JRPPs) and classes of regional development to be determined by JRPPs.</w:t>
            </w:r>
          </w:p>
        </w:tc>
        <w:tc>
          <w:tcPr>
            <w:tcW w:w="3118" w:type="dxa"/>
          </w:tcPr>
          <w:p w:rsidR="00733F2A" w:rsidRPr="00490DE9" w:rsidRDefault="00733F2A" w:rsidP="00FD3363">
            <w:pPr>
              <w:spacing w:before="80" w:after="80"/>
              <w:rPr>
                <w:rFonts w:asciiTheme="majorHAnsi" w:hAnsiTheme="majorHAnsi" w:cs="Arial"/>
                <w:sz w:val="16"/>
                <w:szCs w:val="16"/>
              </w:rPr>
            </w:pPr>
            <w:r w:rsidRPr="00490DE9">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490DE9">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490DE9" w:rsidRDefault="00733F2A" w:rsidP="00FD3363">
            <w:pPr>
              <w:keepLines/>
              <w:spacing w:before="80" w:after="80"/>
              <w:rPr>
                <w:rFonts w:asciiTheme="majorHAnsi" w:hAnsiTheme="majorHAnsi" w:cs="Arial"/>
                <w:sz w:val="16"/>
                <w:szCs w:val="16"/>
              </w:rPr>
            </w:pPr>
            <w:r w:rsidRPr="00490DE9">
              <w:rPr>
                <w:rFonts w:asciiTheme="majorHAnsi" w:hAnsiTheme="majorHAnsi" w:cs="Arial"/>
                <w:sz w:val="16"/>
                <w:szCs w:val="16"/>
              </w:rPr>
              <w:t>Infrastructure 2007</w:t>
            </w:r>
          </w:p>
        </w:tc>
        <w:tc>
          <w:tcPr>
            <w:tcW w:w="3827" w:type="dxa"/>
          </w:tcPr>
          <w:p w:rsidR="00733F2A" w:rsidRPr="00490DE9" w:rsidRDefault="00733F2A" w:rsidP="00FD3363">
            <w:pPr>
              <w:spacing w:before="80" w:after="80"/>
              <w:rPr>
                <w:rFonts w:asciiTheme="majorHAnsi" w:hAnsiTheme="majorHAnsi" w:cs="Arial"/>
                <w:spacing w:val="-6"/>
                <w:sz w:val="16"/>
                <w:szCs w:val="16"/>
              </w:rPr>
            </w:pPr>
            <w:r w:rsidRPr="00490DE9">
              <w:rPr>
                <w:rFonts w:asciiTheme="majorHAnsi" w:hAnsiTheme="majorHAnsi" w:cs="Arial"/>
                <w:spacing w:val="-6"/>
                <w:sz w:val="16"/>
                <w:szCs w:val="16"/>
              </w:rPr>
              <w:t>The SEPP provides a consistent approach for infrastructure and the provision of services across NSW, and to support greater efficiency in the location of infrastructure and service facilities.</w:t>
            </w:r>
          </w:p>
        </w:tc>
        <w:tc>
          <w:tcPr>
            <w:tcW w:w="3118" w:type="dxa"/>
          </w:tcPr>
          <w:p w:rsidR="00733F2A" w:rsidRPr="00490DE9" w:rsidRDefault="004142C3" w:rsidP="004142C3">
            <w:pPr>
              <w:spacing w:before="80" w:after="80"/>
              <w:rPr>
                <w:rFonts w:asciiTheme="majorHAnsi" w:hAnsiTheme="majorHAnsi" w:cs="Arial"/>
                <w:sz w:val="16"/>
                <w:szCs w:val="16"/>
              </w:rPr>
            </w:pPr>
            <w:r w:rsidRPr="004142C3">
              <w:rPr>
                <w:rFonts w:asciiTheme="majorHAnsi" w:hAnsiTheme="majorHAnsi" w:cs="Arial"/>
                <w:sz w:val="16"/>
                <w:szCs w:val="16"/>
              </w:rPr>
              <w:t xml:space="preserve">The inclusion of Lot 1 </w:t>
            </w:r>
            <w:r>
              <w:rPr>
                <w:rFonts w:asciiTheme="majorHAnsi" w:hAnsiTheme="majorHAnsi" w:cs="Arial"/>
                <w:sz w:val="16"/>
                <w:szCs w:val="16"/>
              </w:rPr>
              <w:t xml:space="preserve">as an </w:t>
            </w:r>
            <w:r w:rsidRPr="004142C3">
              <w:rPr>
                <w:rFonts w:asciiTheme="majorHAnsi" w:hAnsiTheme="majorHAnsi" w:cs="Arial"/>
                <w:sz w:val="16"/>
                <w:szCs w:val="16"/>
              </w:rPr>
              <w:t>Urban Release Area will ensure that any public utility infrastructure that is essential for the proposed development is available or that adequate arrangements have been made to make that infrastructure available when required.</w:t>
            </w:r>
            <w:r>
              <w:rPr>
                <w:rFonts w:asciiTheme="majorHAnsi" w:hAnsiTheme="majorHAnsi" w:cs="Arial"/>
                <w:sz w:val="16"/>
                <w:szCs w:val="16"/>
              </w:rPr>
              <w:t xml:space="preserve"> </w:t>
            </w:r>
            <w:r w:rsidR="00733F2A" w:rsidRPr="00490DE9">
              <w:rPr>
                <w:rFonts w:asciiTheme="majorHAnsi" w:hAnsiTheme="majorHAnsi" w:cs="Arial"/>
                <w:sz w:val="16"/>
                <w:szCs w:val="16"/>
              </w:rPr>
              <w:t xml:space="preserve">It is not proposed to include any provisions, which would be inconsistent with the SEPP. </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lastRenderedPageBreak/>
              <w:t>Rural Lands 2008</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aims to facilitate economic use and development of rural lands, reduce land use conflicts and provides development principles.</w:t>
            </w:r>
          </w:p>
        </w:tc>
        <w:tc>
          <w:tcPr>
            <w:tcW w:w="3118" w:type="dxa"/>
          </w:tcPr>
          <w:p w:rsidR="00733F2A"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proposal seeks to rezone the land from RU1 Primary Production to R5 Large Lot Residential. The rezoning will result in the loss of a small portion of land zoned for rural purposes. It is noted that the land the subject of this pr</w:t>
            </w:r>
            <w:r w:rsidR="004F3070" w:rsidRPr="00FD3363">
              <w:rPr>
                <w:rFonts w:asciiTheme="majorHAnsi" w:hAnsiTheme="majorHAnsi" w:cs="Arial"/>
                <w:sz w:val="16"/>
                <w:szCs w:val="16"/>
              </w:rPr>
              <w:t xml:space="preserve">oposal has lower fertility and minimum rural land capability </w:t>
            </w:r>
            <w:r w:rsidRPr="00FD3363">
              <w:rPr>
                <w:rFonts w:asciiTheme="majorHAnsi" w:hAnsiTheme="majorHAnsi" w:cs="Arial"/>
                <w:sz w:val="16"/>
                <w:szCs w:val="16"/>
              </w:rPr>
              <w:t>as</w:t>
            </w:r>
            <w:r w:rsidR="004724B3" w:rsidRPr="00FD3363">
              <w:rPr>
                <w:rFonts w:asciiTheme="majorHAnsi" w:hAnsiTheme="majorHAnsi" w:cs="Arial"/>
                <w:sz w:val="16"/>
                <w:szCs w:val="16"/>
              </w:rPr>
              <w:t xml:space="preserve"> discussed in Section 2. </w:t>
            </w:r>
          </w:p>
          <w:p w:rsidR="004533EE" w:rsidRPr="004533EE" w:rsidRDefault="004533EE" w:rsidP="004533EE">
            <w:pPr>
              <w:spacing w:before="80" w:after="80"/>
              <w:rPr>
                <w:rFonts w:asciiTheme="majorHAnsi" w:hAnsiTheme="majorHAnsi" w:cs="Arial"/>
                <w:sz w:val="16"/>
                <w:szCs w:val="16"/>
              </w:rPr>
            </w:pPr>
            <w:r w:rsidRPr="004533EE">
              <w:rPr>
                <w:rFonts w:asciiTheme="majorHAnsi" w:hAnsiTheme="majorHAnsi" w:cs="Arial"/>
                <w:sz w:val="16"/>
                <w:szCs w:val="16"/>
              </w:rPr>
              <w:t xml:space="preserve">The rezoning and future development of the land will be undertaken by the owner of the adjoining Two Rivers vineyard, ensuring that adequate buffer zones and setbacks are adopted to avoid any land use conflict.  The rezoning of the site for large lot housing purposes is not an incompatible land use with the adjoining vineyards and the land can be developed without adversely impacting on the agricultural productivity of this established viticultural business. </w:t>
            </w:r>
          </w:p>
          <w:p w:rsidR="004533EE" w:rsidRDefault="004533EE" w:rsidP="004533EE">
            <w:pPr>
              <w:spacing w:before="80" w:after="80"/>
              <w:rPr>
                <w:rFonts w:asciiTheme="majorHAnsi" w:hAnsiTheme="majorHAnsi" w:cs="Arial"/>
                <w:sz w:val="16"/>
                <w:szCs w:val="16"/>
              </w:rPr>
            </w:pPr>
            <w:r w:rsidRPr="004533EE">
              <w:rPr>
                <w:rFonts w:asciiTheme="majorHAnsi" w:hAnsiTheme="majorHAnsi" w:cs="Arial"/>
                <w:sz w:val="16"/>
                <w:szCs w:val="16"/>
              </w:rPr>
              <w:t xml:space="preserve">The development of the land for low density rural residential housing purposes is a compatible land use with the adjoining Two Rivers vineyard, which is a thriving and productive viticultural business.    The owners of Two Rivers are committed commercial wine makers and they will not jeopardise the long-term economic future of commercial viticulture by proposing or developing an incompatible land use. </w:t>
            </w:r>
          </w:p>
          <w:p w:rsidR="00733F2A" w:rsidRDefault="004533EE" w:rsidP="00FD3363">
            <w:pPr>
              <w:spacing w:before="80" w:after="80"/>
              <w:rPr>
                <w:rFonts w:asciiTheme="majorHAnsi" w:hAnsiTheme="majorHAnsi" w:cs="Arial"/>
                <w:sz w:val="16"/>
                <w:szCs w:val="16"/>
              </w:rPr>
            </w:pPr>
            <w:r>
              <w:rPr>
                <w:rFonts w:asciiTheme="majorHAnsi" w:hAnsiTheme="majorHAnsi" w:cs="Arial"/>
                <w:sz w:val="16"/>
                <w:szCs w:val="16"/>
              </w:rPr>
              <w:t>In this context, t</w:t>
            </w:r>
            <w:r w:rsidR="00733F2A" w:rsidRPr="00FD3363">
              <w:rPr>
                <w:rFonts w:asciiTheme="majorHAnsi" w:hAnsiTheme="majorHAnsi" w:cs="Arial"/>
                <w:sz w:val="16"/>
                <w:szCs w:val="16"/>
              </w:rPr>
              <w:t xml:space="preserve">he proposed changes under this </w:t>
            </w:r>
            <w:r w:rsidR="006C7B49">
              <w:rPr>
                <w:rFonts w:asciiTheme="majorHAnsi" w:hAnsiTheme="majorHAnsi" w:cs="Arial"/>
                <w:sz w:val="16"/>
                <w:szCs w:val="16"/>
              </w:rPr>
              <w:t>Planning Proposal</w:t>
            </w:r>
            <w:r w:rsidR="004C1D59" w:rsidRPr="00FD3363">
              <w:rPr>
                <w:rFonts w:asciiTheme="majorHAnsi" w:hAnsiTheme="majorHAnsi" w:cs="Arial"/>
                <w:sz w:val="16"/>
                <w:szCs w:val="16"/>
              </w:rPr>
              <w:t xml:space="preserve"> are considered of</w:t>
            </w:r>
            <w:r w:rsidR="00733F2A" w:rsidRPr="00FD3363">
              <w:rPr>
                <w:rFonts w:asciiTheme="majorHAnsi" w:hAnsiTheme="majorHAnsi" w:cs="Arial"/>
                <w:sz w:val="16"/>
                <w:szCs w:val="16"/>
              </w:rPr>
              <w:t xml:space="preserve"> minor significance and are considered to be consistent with the intent of this SEPP.</w:t>
            </w:r>
          </w:p>
          <w:p w:rsidR="00591A94" w:rsidRPr="00FD3363" w:rsidRDefault="00591A94" w:rsidP="00127EC4">
            <w:pPr>
              <w:spacing w:before="80" w:after="80"/>
              <w:rPr>
                <w:rFonts w:asciiTheme="majorHAnsi" w:hAnsiTheme="majorHAnsi" w:cs="Arial"/>
                <w:sz w:val="16"/>
                <w:szCs w:val="16"/>
              </w:rPr>
            </w:pPr>
            <w:r w:rsidRPr="00127EC4">
              <w:rPr>
                <w:rFonts w:asciiTheme="majorHAnsi" w:hAnsiTheme="majorHAnsi" w:cs="Arial"/>
                <w:sz w:val="16"/>
                <w:szCs w:val="16"/>
              </w:rPr>
              <w:t>NSW Department of Primary Industries</w:t>
            </w:r>
            <w:r w:rsidR="002626A8">
              <w:rPr>
                <w:rFonts w:asciiTheme="majorHAnsi" w:hAnsiTheme="majorHAnsi" w:cs="Arial"/>
                <w:sz w:val="16"/>
                <w:szCs w:val="16"/>
              </w:rPr>
              <w:t xml:space="preserve"> (NSW Agriculture) </w:t>
            </w:r>
            <w:r w:rsidR="002626A8" w:rsidRPr="00127EC4">
              <w:rPr>
                <w:rFonts w:asciiTheme="majorHAnsi" w:hAnsiTheme="majorHAnsi" w:cs="Arial"/>
                <w:sz w:val="16"/>
                <w:szCs w:val="16"/>
              </w:rPr>
              <w:t>was</w:t>
            </w:r>
            <w:r w:rsidR="00127EC4" w:rsidRPr="00127EC4">
              <w:rPr>
                <w:rFonts w:asciiTheme="majorHAnsi" w:hAnsiTheme="majorHAnsi" w:cs="Arial"/>
                <w:sz w:val="16"/>
                <w:szCs w:val="16"/>
              </w:rPr>
              <w:t xml:space="preserve"> consulted upfront and DPI indicated their support to proposed rezoning on the grounds of MRRRS.</w:t>
            </w:r>
          </w:p>
        </w:tc>
      </w:tr>
      <w:tr w:rsidR="00733F2A" w:rsidRPr="00FD3363" w:rsidTr="0088028A">
        <w:trPr>
          <w:trHeight w:val="397"/>
        </w:trPr>
        <w:tc>
          <w:tcPr>
            <w:tcW w:w="1668" w:type="dxa"/>
          </w:tcPr>
          <w:p w:rsidR="00733F2A" w:rsidRPr="00FD3363" w:rsidRDefault="00D42DBD" w:rsidP="00FD3363">
            <w:pPr>
              <w:keepLines/>
              <w:spacing w:before="80" w:after="80"/>
              <w:rPr>
                <w:rFonts w:asciiTheme="majorHAnsi" w:hAnsiTheme="majorHAnsi" w:cs="Arial"/>
                <w:sz w:val="16"/>
                <w:szCs w:val="16"/>
              </w:rPr>
            </w:pPr>
            <w:r w:rsidRPr="00FD3363">
              <w:rPr>
                <w:rFonts w:asciiTheme="majorHAnsi" w:hAnsiTheme="majorHAnsi" w:cs="Arial"/>
                <w:sz w:val="16"/>
                <w:szCs w:val="16"/>
              </w:rPr>
              <w:t>Exempt and Complying Development Codes 2008</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exempt and complying development codes that have State-wide application, identifying, in the General Exempt Development Code, types of development that are of minimal environmental impact that may be carried out without the need for development consent; and, in the General Housing Code, types of complying development that may be carried out in accordance with a complying development certificate.</w:t>
            </w:r>
          </w:p>
        </w:tc>
        <w:tc>
          <w:tcPr>
            <w:tcW w:w="3118" w:type="dxa"/>
          </w:tcPr>
          <w:p w:rsidR="00733F2A" w:rsidRPr="00FD3363" w:rsidRDefault="00733F2A" w:rsidP="005900A3">
            <w:pPr>
              <w:spacing w:before="80" w:after="80"/>
              <w:rPr>
                <w:rFonts w:asciiTheme="majorHAnsi" w:hAnsiTheme="majorHAnsi" w:cs="Arial"/>
                <w:sz w:val="16"/>
                <w:szCs w:val="16"/>
              </w:rPr>
            </w:pPr>
            <w:r w:rsidRPr="00FD3363">
              <w:rPr>
                <w:rFonts w:asciiTheme="majorHAnsi" w:hAnsiTheme="majorHAnsi" w:cs="Arial"/>
                <w:sz w:val="16"/>
                <w:szCs w:val="16"/>
              </w:rPr>
              <w:t xml:space="preserve">Additional and supporting information to the MLEP 2009. </w:t>
            </w:r>
            <w:r w:rsidR="005900A3">
              <w:rPr>
                <w:rFonts w:asciiTheme="majorHAnsi" w:hAnsiTheme="majorHAnsi" w:cs="Arial"/>
                <w:sz w:val="16"/>
                <w:szCs w:val="16"/>
              </w:rPr>
              <w:t xml:space="preserve"> </w:t>
            </w: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r w:rsidR="00733F2A" w:rsidRPr="00FD3363" w:rsidTr="0088028A">
        <w:trPr>
          <w:trHeight w:val="397"/>
        </w:trPr>
        <w:tc>
          <w:tcPr>
            <w:tcW w:w="1668" w:type="dxa"/>
          </w:tcPr>
          <w:p w:rsidR="00733F2A" w:rsidRPr="00FD3363" w:rsidRDefault="00733F2A" w:rsidP="00FD3363">
            <w:pPr>
              <w:keepLines/>
              <w:spacing w:before="80" w:after="80"/>
              <w:rPr>
                <w:rFonts w:asciiTheme="majorHAnsi" w:hAnsiTheme="majorHAnsi" w:cs="Arial"/>
                <w:sz w:val="16"/>
                <w:szCs w:val="16"/>
              </w:rPr>
            </w:pPr>
            <w:r w:rsidRPr="00FD3363">
              <w:rPr>
                <w:rFonts w:asciiTheme="majorHAnsi" w:hAnsiTheme="majorHAnsi" w:cs="Arial"/>
                <w:sz w:val="16"/>
                <w:szCs w:val="16"/>
              </w:rPr>
              <w:t>Affordable Rental Housing 2009</w:t>
            </w:r>
          </w:p>
        </w:tc>
        <w:tc>
          <w:tcPr>
            <w:tcW w:w="3827"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The SEPP provides for an increase in the supply and diversity of affordable rental and social housing in NSW.</w:t>
            </w:r>
          </w:p>
        </w:tc>
        <w:tc>
          <w:tcPr>
            <w:tcW w:w="3118" w:type="dxa"/>
          </w:tcPr>
          <w:p w:rsidR="00733F2A" w:rsidRPr="00FD3363" w:rsidRDefault="00733F2A"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Nothing in 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affects the aims and provisions of this SEPP</w:t>
            </w:r>
          </w:p>
        </w:tc>
      </w:tr>
    </w:tbl>
    <w:p w:rsidR="00FD3363" w:rsidRDefault="00FD3363" w:rsidP="009300DA">
      <w:pPr>
        <w:spacing w:before="240" w:after="240" w:line="280" w:lineRule="exact"/>
        <w:contextualSpacing/>
        <w:jc w:val="both"/>
        <w:rPr>
          <w:rFonts w:ascii="Trebuchet MS" w:eastAsia="Times New Roman" w:hAnsi="Trebuchet MS" w:cs="Times New Roman"/>
          <w:b/>
          <w:i/>
          <w:color w:val="000000"/>
          <w:sz w:val="19"/>
          <w:lang w:eastAsia="en-AU"/>
        </w:rPr>
      </w:pPr>
    </w:p>
    <w:p w:rsidR="004533EE" w:rsidRDefault="004533EE" w:rsidP="009300DA">
      <w:pPr>
        <w:spacing w:before="240" w:after="240" w:line="280" w:lineRule="exact"/>
        <w:contextualSpacing/>
        <w:jc w:val="both"/>
        <w:rPr>
          <w:rFonts w:ascii="Trebuchet MS" w:eastAsia="Times New Roman" w:hAnsi="Trebuchet MS" w:cs="Times New Roman"/>
          <w:b/>
          <w:i/>
          <w:color w:val="000000"/>
          <w:sz w:val="19"/>
          <w:lang w:eastAsia="en-AU"/>
        </w:rPr>
      </w:pPr>
    </w:p>
    <w:p w:rsidR="004724B3" w:rsidRPr="00FD3363" w:rsidRDefault="004724B3" w:rsidP="002626A8">
      <w:pPr>
        <w:spacing w:before="240" w:after="0" w:line="280" w:lineRule="exact"/>
        <w:jc w:val="both"/>
        <w:rPr>
          <w:rFonts w:asciiTheme="majorHAnsi" w:eastAsia="Times New Roman" w:hAnsiTheme="majorHAnsi" w:cs="Times New Roman"/>
          <w:b/>
          <w:i/>
          <w:color w:val="000000"/>
          <w:sz w:val="23"/>
          <w:szCs w:val="23"/>
          <w:lang w:eastAsia="en-AU"/>
        </w:rPr>
      </w:pPr>
      <w:r w:rsidRPr="00FD3363">
        <w:rPr>
          <w:rFonts w:asciiTheme="majorHAnsi" w:eastAsia="Times New Roman" w:hAnsiTheme="majorHAnsi" w:cs="Times New Roman"/>
          <w:b/>
          <w:i/>
          <w:color w:val="000000"/>
          <w:sz w:val="23"/>
          <w:szCs w:val="23"/>
          <w:lang w:eastAsia="en-AU"/>
        </w:rPr>
        <w:t xml:space="preserve">Is the </w:t>
      </w:r>
      <w:r w:rsidR="006C7B49">
        <w:rPr>
          <w:rFonts w:asciiTheme="majorHAnsi" w:eastAsia="Times New Roman" w:hAnsiTheme="majorHAnsi" w:cs="Times New Roman"/>
          <w:b/>
          <w:i/>
          <w:color w:val="000000"/>
          <w:sz w:val="23"/>
          <w:szCs w:val="23"/>
          <w:lang w:eastAsia="en-AU"/>
        </w:rPr>
        <w:t>Planning Proposal</w:t>
      </w:r>
      <w:r w:rsidRPr="00FD3363">
        <w:rPr>
          <w:rFonts w:asciiTheme="majorHAnsi" w:eastAsia="Times New Roman" w:hAnsiTheme="majorHAnsi" w:cs="Times New Roman"/>
          <w:b/>
          <w:i/>
          <w:color w:val="000000"/>
          <w:sz w:val="23"/>
          <w:szCs w:val="23"/>
          <w:lang w:eastAsia="en-AU"/>
        </w:rPr>
        <w:t xml:space="preserve"> consistent with applicable Ministerial Directions (s.117 </w:t>
      </w:r>
      <w:r w:rsidR="00FD3363">
        <w:rPr>
          <w:rFonts w:asciiTheme="majorHAnsi" w:eastAsia="Times New Roman" w:hAnsiTheme="majorHAnsi" w:cs="Times New Roman"/>
          <w:b/>
          <w:i/>
          <w:color w:val="000000"/>
          <w:sz w:val="23"/>
          <w:szCs w:val="23"/>
          <w:lang w:eastAsia="en-AU"/>
        </w:rPr>
        <w:t>D</w:t>
      </w:r>
      <w:r w:rsidR="00FD3363" w:rsidRPr="00FD3363">
        <w:rPr>
          <w:rFonts w:asciiTheme="majorHAnsi" w:eastAsia="Times New Roman" w:hAnsiTheme="majorHAnsi" w:cs="Times New Roman"/>
          <w:b/>
          <w:i/>
          <w:color w:val="000000"/>
          <w:sz w:val="23"/>
          <w:szCs w:val="23"/>
          <w:lang w:eastAsia="en-AU"/>
        </w:rPr>
        <w:t>irections</w:t>
      </w:r>
      <w:r w:rsidRPr="00FD3363">
        <w:rPr>
          <w:rFonts w:asciiTheme="majorHAnsi" w:eastAsia="Times New Roman" w:hAnsiTheme="majorHAnsi" w:cs="Times New Roman"/>
          <w:b/>
          <w:i/>
          <w:color w:val="000000"/>
          <w:sz w:val="23"/>
          <w:szCs w:val="23"/>
          <w:lang w:eastAsia="en-AU"/>
        </w:rPr>
        <w:t>)</w:t>
      </w:r>
      <w:r w:rsidR="00FD3363">
        <w:rPr>
          <w:rFonts w:asciiTheme="majorHAnsi" w:eastAsia="Times New Roman" w:hAnsiTheme="majorHAnsi" w:cs="Times New Roman"/>
          <w:b/>
          <w:i/>
          <w:color w:val="000000"/>
          <w:sz w:val="23"/>
          <w:szCs w:val="23"/>
          <w:lang w:eastAsia="en-AU"/>
        </w:rPr>
        <w:t>?</w:t>
      </w:r>
    </w:p>
    <w:p w:rsidR="00AB02B0" w:rsidRPr="00FD3363" w:rsidRDefault="00AB02B0" w:rsidP="002626A8">
      <w:pPr>
        <w:spacing w:after="0"/>
        <w:contextualSpacing/>
        <w:jc w:val="both"/>
        <w:rPr>
          <w:rFonts w:asciiTheme="majorHAnsi" w:eastAsia="Times New Roman" w:hAnsiTheme="majorHAnsi" w:cs="Times New Roman"/>
          <w:color w:val="000000"/>
          <w:sz w:val="12"/>
          <w:szCs w:val="22"/>
          <w:lang w:eastAsia="en-AU"/>
        </w:rPr>
      </w:pPr>
    </w:p>
    <w:p w:rsidR="009300DA" w:rsidRPr="00FD3363" w:rsidRDefault="004724B3" w:rsidP="002626A8">
      <w:pPr>
        <w:spacing w:before="120" w:after="120"/>
        <w:jc w:val="both"/>
        <w:rPr>
          <w:rFonts w:asciiTheme="majorHAnsi" w:eastAsia="Times New Roman" w:hAnsiTheme="majorHAnsi" w:cs="Times New Roman"/>
          <w:color w:val="000000"/>
          <w:sz w:val="22"/>
          <w:szCs w:val="22"/>
          <w:lang w:eastAsia="en-AU"/>
        </w:rPr>
      </w:pPr>
      <w:r w:rsidRPr="00FD3363">
        <w:rPr>
          <w:rFonts w:asciiTheme="majorHAnsi" w:eastAsia="Times New Roman" w:hAnsiTheme="majorHAnsi" w:cs="Times New Roman"/>
          <w:color w:val="000000"/>
          <w:sz w:val="22"/>
          <w:szCs w:val="22"/>
          <w:lang w:eastAsia="en-AU"/>
        </w:rPr>
        <w:t xml:space="preserve">An assessment of relevant S117 Directions against the </w:t>
      </w:r>
      <w:r w:rsidR="006C7B49">
        <w:rPr>
          <w:rFonts w:asciiTheme="majorHAnsi" w:eastAsia="Times New Roman" w:hAnsiTheme="majorHAnsi" w:cs="Times New Roman"/>
          <w:color w:val="000000"/>
          <w:sz w:val="22"/>
          <w:szCs w:val="22"/>
          <w:lang w:eastAsia="en-AU"/>
        </w:rPr>
        <w:t>Planning Proposal</w:t>
      </w:r>
      <w:r w:rsidRPr="00FD3363">
        <w:rPr>
          <w:rFonts w:asciiTheme="majorHAnsi" w:eastAsia="Times New Roman" w:hAnsiTheme="majorHAnsi" w:cs="Times New Roman"/>
          <w:color w:val="000000"/>
          <w:sz w:val="22"/>
          <w:szCs w:val="22"/>
          <w:lang w:eastAsia="en-AU"/>
        </w:rPr>
        <w:t xml:space="preserve"> is provided in the </w:t>
      </w:r>
      <w:r w:rsidRPr="00FD3363">
        <w:rPr>
          <w:rFonts w:asciiTheme="majorHAnsi" w:eastAsia="Times New Roman" w:hAnsiTheme="majorHAnsi" w:cs="Times New Roman"/>
          <w:b/>
          <w:color w:val="000000"/>
          <w:sz w:val="22"/>
          <w:szCs w:val="22"/>
          <w:lang w:eastAsia="en-AU"/>
        </w:rPr>
        <w:t>Table 4</w:t>
      </w:r>
      <w:r w:rsidRPr="00FD3363">
        <w:rPr>
          <w:rFonts w:asciiTheme="majorHAnsi" w:eastAsia="Times New Roman" w:hAnsiTheme="majorHAnsi" w:cs="Times New Roman"/>
          <w:color w:val="000000"/>
          <w:sz w:val="22"/>
          <w:szCs w:val="22"/>
          <w:lang w:eastAsia="en-AU"/>
        </w:rPr>
        <w:t xml:space="preserve"> below.</w:t>
      </w:r>
    </w:p>
    <w:p w:rsidR="00225483" w:rsidRDefault="009300DA" w:rsidP="004533EE">
      <w:pPr>
        <w:spacing w:after="0" w:line="280" w:lineRule="exact"/>
        <w:jc w:val="both"/>
        <w:rPr>
          <w:rFonts w:asciiTheme="majorHAnsi" w:eastAsia="Times New Roman" w:hAnsiTheme="majorHAnsi" w:cs="Times New Roman"/>
          <w:bCs/>
          <w:i/>
          <w:iCs/>
          <w:color w:val="000000"/>
          <w:sz w:val="20"/>
          <w:szCs w:val="22"/>
          <w:lang w:eastAsia="en-AU"/>
        </w:rPr>
      </w:pPr>
      <w:r w:rsidRPr="00FD3363">
        <w:rPr>
          <w:rFonts w:asciiTheme="majorHAnsi" w:eastAsia="Times New Roman" w:hAnsiTheme="majorHAnsi" w:cs="Times New Roman"/>
          <w:b/>
          <w:bCs/>
          <w:i/>
          <w:iCs/>
          <w:color w:val="000000"/>
          <w:sz w:val="20"/>
          <w:szCs w:val="22"/>
          <w:lang w:eastAsia="en-AU"/>
        </w:rPr>
        <w:t>Table 4</w:t>
      </w:r>
      <w:r w:rsidRPr="00FD3363">
        <w:rPr>
          <w:rFonts w:asciiTheme="majorHAnsi" w:eastAsia="Times New Roman" w:hAnsiTheme="majorHAnsi" w:cs="Times New Roman"/>
          <w:bCs/>
          <w:i/>
          <w:iCs/>
          <w:color w:val="000000"/>
          <w:sz w:val="20"/>
          <w:szCs w:val="22"/>
          <w:lang w:eastAsia="en-AU"/>
        </w:rPr>
        <w:t>: Assessm</w:t>
      </w:r>
      <w:r w:rsidR="00AB02B0" w:rsidRPr="00FD3363">
        <w:rPr>
          <w:rFonts w:asciiTheme="majorHAnsi" w:eastAsia="Times New Roman" w:hAnsiTheme="majorHAnsi" w:cs="Times New Roman"/>
          <w:bCs/>
          <w:i/>
          <w:iCs/>
          <w:color w:val="000000"/>
          <w:sz w:val="20"/>
          <w:szCs w:val="22"/>
          <w:lang w:eastAsia="en-AU"/>
        </w:rPr>
        <w:t>ent of relevant S117 Directions</w:t>
      </w:r>
    </w:p>
    <w:p w:rsidR="0088028A" w:rsidRPr="00FD3363" w:rsidRDefault="0088028A" w:rsidP="004533EE">
      <w:pPr>
        <w:spacing w:after="0" w:line="280" w:lineRule="exact"/>
        <w:jc w:val="both"/>
        <w:rPr>
          <w:rFonts w:asciiTheme="majorHAnsi" w:eastAsia="Times New Roman" w:hAnsiTheme="majorHAnsi" w:cs="Times New Roman"/>
          <w:bCs/>
          <w:i/>
          <w:iCs/>
          <w:color w:val="000000"/>
          <w:sz w:val="20"/>
          <w:szCs w:val="22"/>
          <w:lang w:eastAsia="en-AU"/>
        </w:rPr>
      </w:pPr>
    </w:p>
    <w:p w:rsidR="0043273C" w:rsidRPr="00D02481" w:rsidRDefault="0043273C" w:rsidP="002626A8">
      <w:pPr>
        <w:spacing w:after="0"/>
        <w:contextualSpacing/>
        <w:jc w:val="both"/>
        <w:rPr>
          <w:rFonts w:ascii="Trebuchet MS" w:eastAsia="Times New Roman" w:hAnsi="Trebuchet MS" w:cs="Times New Roman"/>
          <w:bCs/>
          <w:i/>
          <w:iCs/>
          <w:color w:val="000000"/>
          <w:sz w:val="10"/>
          <w:lang w:eastAsia="en-AU"/>
        </w:rPr>
      </w:pPr>
    </w:p>
    <w:tbl>
      <w:tblPr>
        <w:tblW w:w="847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
      <w:tblGrid>
        <w:gridCol w:w="1355"/>
        <w:gridCol w:w="2948"/>
        <w:gridCol w:w="4169"/>
      </w:tblGrid>
      <w:tr w:rsidR="004724B3" w:rsidRPr="00FD3363">
        <w:trPr>
          <w:trHeight w:val="568"/>
          <w:tblHeader/>
        </w:trPr>
        <w:tc>
          <w:tcPr>
            <w:tcW w:w="1355" w:type="dxa"/>
            <w:shd w:val="clear" w:color="auto" w:fill="D9D9D9" w:themeFill="background1" w:themeFillShade="D9"/>
            <w:vAlign w:val="center"/>
          </w:tcPr>
          <w:p w:rsidR="004724B3" w:rsidRPr="00FD3363" w:rsidRDefault="004724B3" w:rsidP="00FD3363">
            <w:pPr>
              <w:spacing w:before="80" w:after="80"/>
              <w:rPr>
                <w:rFonts w:asciiTheme="majorHAnsi" w:hAnsiTheme="majorHAnsi" w:cs="Arial"/>
                <w:b/>
                <w:sz w:val="18"/>
                <w:szCs w:val="16"/>
              </w:rPr>
            </w:pPr>
            <w:r w:rsidRPr="00FD3363">
              <w:rPr>
                <w:rFonts w:asciiTheme="majorHAnsi" w:hAnsiTheme="majorHAnsi" w:cs="Arial"/>
                <w:b/>
                <w:sz w:val="18"/>
                <w:szCs w:val="16"/>
              </w:rPr>
              <w:lastRenderedPageBreak/>
              <w:t>DIRECTIONS</w:t>
            </w:r>
          </w:p>
        </w:tc>
        <w:tc>
          <w:tcPr>
            <w:tcW w:w="2948" w:type="dxa"/>
            <w:shd w:val="clear" w:color="auto" w:fill="D9D9D9" w:themeFill="background1" w:themeFillShade="D9"/>
            <w:vAlign w:val="center"/>
          </w:tcPr>
          <w:p w:rsidR="004724B3" w:rsidRPr="00FD3363" w:rsidRDefault="004724B3" w:rsidP="00FD3363">
            <w:pPr>
              <w:spacing w:before="80" w:after="80"/>
              <w:rPr>
                <w:rFonts w:asciiTheme="majorHAnsi" w:hAnsiTheme="majorHAnsi" w:cs="Arial"/>
                <w:b/>
                <w:sz w:val="18"/>
                <w:szCs w:val="16"/>
              </w:rPr>
            </w:pPr>
            <w:r w:rsidRPr="00FD3363">
              <w:rPr>
                <w:rFonts w:asciiTheme="majorHAnsi" w:hAnsiTheme="majorHAnsi" w:cs="Arial"/>
                <w:b/>
                <w:sz w:val="18"/>
                <w:szCs w:val="16"/>
              </w:rPr>
              <w:t>AIM OF DIRECTION</w:t>
            </w:r>
          </w:p>
        </w:tc>
        <w:tc>
          <w:tcPr>
            <w:tcW w:w="4169" w:type="dxa"/>
            <w:shd w:val="clear" w:color="auto" w:fill="D9D9D9" w:themeFill="background1" w:themeFillShade="D9"/>
            <w:vAlign w:val="center"/>
          </w:tcPr>
          <w:p w:rsidR="004724B3" w:rsidRPr="00FD3363" w:rsidRDefault="001A41FF" w:rsidP="00FD3363">
            <w:pPr>
              <w:spacing w:before="80" w:after="80"/>
              <w:rPr>
                <w:rFonts w:asciiTheme="majorHAnsi" w:hAnsiTheme="majorHAnsi" w:cs="Arial"/>
                <w:b/>
                <w:sz w:val="18"/>
                <w:szCs w:val="16"/>
              </w:rPr>
            </w:pPr>
            <w:r w:rsidRPr="00FD3363">
              <w:rPr>
                <w:rFonts w:asciiTheme="majorHAnsi" w:hAnsiTheme="majorHAnsi" w:cs="Arial"/>
                <w:b/>
                <w:sz w:val="18"/>
                <w:szCs w:val="16"/>
              </w:rPr>
              <w:t xml:space="preserve">CONSISTENCY </w:t>
            </w:r>
            <w:r w:rsidR="004724B3" w:rsidRPr="00FD3363">
              <w:rPr>
                <w:rFonts w:asciiTheme="majorHAnsi" w:hAnsiTheme="majorHAnsi" w:cs="Arial"/>
                <w:b/>
                <w:sz w:val="18"/>
                <w:szCs w:val="16"/>
              </w:rPr>
              <w:t>AND IMPLICATIONS</w:t>
            </w:r>
          </w:p>
        </w:tc>
      </w:tr>
      <w:tr w:rsidR="004724B3" w:rsidRPr="00FD3363">
        <w:trPr>
          <w:trHeight w:val="252"/>
        </w:trPr>
        <w:tc>
          <w:tcPr>
            <w:tcW w:w="8472" w:type="dxa"/>
            <w:gridSpan w:val="3"/>
            <w:shd w:val="clear" w:color="auto" w:fill="F2F2F2" w:themeFill="background1" w:themeFillShade="F2"/>
          </w:tcPr>
          <w:p w:rsidR="004724B3" w:rsidRPr="00FD3363" w:rsidRDefault="004724B3" w:rsidP="00FD3363">
            <w:pPr>
              <w:spacing w:before="80" w:after="80"/>
              <w:rPr>
                <w:rFonts w:asciiTheme="majorHAnsi" w:hAnsiTheme="majorHAnsi" w:cs="Arial"/>
                <w:b/>
                <w:sz w:val="16"/>
                <w:szCs w:val="16"/>
              </w:rPr>
            </w:pPr>
            <w:r w:rsidRPr="00FD3363">
              <w:rPr>
                <w:rFonts w:asciiTheme="majorHAnsi" w:hAnsiTheme="majorHAnsi" w:cs="Arial"/>
                <w:b/>
                <w:sz w:val="16"/>
                <w:szCs w:val="16"/>
              </w:rPr>
              <w:t xml:space="preserve">1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Employment and Resources</w:t>
            </w:r>
          </w:p>
        </w:tc>
      </w:tr>
      <w:tr w:rsidR="004724B3" w:rsidRPr="00FD3363">
        <w:trPr>
          <w:trHeight w:val="1068"/>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1.1 Business and Industrial Zones</w:t>
            </w:r>
          </w:p>
        </w:tc>
        <w:tc>
          <w:tcPr>
            <w:tcW w:w="2948" w:type="dxa"/>
          </w:tcPr>
          <w:p w:rsidR="004724B3" w:rsidRPr="00FD3363" w:rsidRDefault="004724B3" w:rsidP="00FD3363">
            <w:pPr>
              <w:spacing w:before="80" w:after="80"/>
              <w:rPr>
                <w:rFonts w:asciiTheme="majorHAnsi" w:hAnsiTheme="majorHAnsi" w:cs="Arial"/>
                <w:spacing w:val="-3"/>
                <w:sz w:val="16"/>
                <w:szCs w:val="16"/>
              </w:rPr>
            </w:pPr>
            <w:r w:rsidRPr="00FD3363">
              <w:rPr>
                <w:rFonts w:asciiTheme="majorHAnsi" w:hAnsiTheme="majorHAnsi" w:cs="Arial"/>
                <w:spacing w:val="-3"/>
                <w:sz w:val="16"/>
                <w:szCs w:val="16"/>
              </w:rPr>
              <w:t>Encourage employment growth in suitable locations, protect employment land in business and industrial zones, and support the viability of identified strategic centres.</w:t>
            </w:r>
          </w:p>
        </w:tc>
        <w:tc>
          <w:tcPr>
            <w:tcW w:w="4169" w:type="dxa"/>
          </w:tcPr>
          <w:p w:rsidR="004724B3" w:rsidRPr="00FD3363" w:rsidRDefault="006C7B49" w:rsidP="00FD3363">
            <w:pPr>
              <w:spacing w:before="80" w:after="80"/>
              <w:rPr>
                <w:rFonts w:asciiTheme="majorHAnsi" w:hAnsiTheme="majorHAnsi" w:cs="Arial"/>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1.2 Rural Zones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protect the agricultural production value of rural land.</w:t>
            </w:r>
          </w:p>
        </w:tc>
        <w:tc>
          <w:tcPr>
            <w:tcW w:w="4169" w:type="dxa"/>
          </w:tcPr>
          <w:p w:rsidR="004F3070" w:rsidRPr="00FD3363" w:rsidRDefault="001A41FF" w:rsidP="00FD3363">
            <w:pPr>
              <w:spacing w:before="80" w:after="80"/>
              <w:rPr>
                <w:rFonts w:asciiTheme="majorHAnsi" w:hAnsiTheme="majorHAnsi" w:cs="Arial"/>
                <w:spacing w:val="-3"/>
                <w:sz w:val="16"/>
                <w:szCs w:val="16"/>
              </w:rPr>
            </w:pPr>
            <w:r w:rsidRPr="00FD3363">
              <w:rPr>
                <w:rFonts w:asciiTheme="majorHAnsi" w:hAnsiTheme="majorHAnsi" w:cs="Arial"/>
                <w:spacing w:val="-3"/>
                <w:sz w:val="16"/>
                <w:szCs w:val="16"/>
              </w:rPr>
              <w:t>This proposal seeks to rezone the land fro</w:t>
            </w:r>
            <w:r w:rsidR="004F3070" w:rsidRPr="00FD3363">
              <w:rPr>
                <w:rFonts w:asciiTheme="majorHAnsi" w:hAnsiTheme="majorHAnsi" w:cs="Arial"/>
                <w:spacing w:val="-3"/>
                <w:sz w:val="16"/>
                <w:szCs w:val="16"/>
              </w:rPr>
              <w:t>m RU1 Primary Production to R5 L</w:t>
            </w:r>
            <w:r w:rsidRPr="00FD3363">
              <w:rPr>
                <w:rFonts w:asciiTheme="majorHAnsi" w:hAnsiTheme="majorHAnsi" w:cs="Arial"/>
                <w:spacing w:val="-3"/>
                <w:sz w:val="16"/>
                <w:szCs w:val="16"/>
              </w:rPr>
              <w:t xml:space="preserve">arge Lot Residential. The </w:t>
            </w:r>
            <w:r w:rsidR="006C7B49">
              <w:rPr>
                <w:rFonts w:asciiTheme="majorHAnsi" w:hAnsiTheme="majorHAnsi" w:cs="Arial"/>
                <w:spacing w:val="-3"/>
                <w:sz w:val="16"/>
                <w:szCs w:val="16"/>
              </w:rPr>
              <w:t>Planning Proposal</w:t>
            </w:r>
            <w:r w:rsidRPr="00FD3363">
              <w:rPr>
                <w:rFonts w:asciiTheme="majorHAnsi" w:hAnsiTheme="majorHAnsi" w:cs="Arial"/>
                <w:spacing w:val="-3"/>
                <w:sz w:val="16"/>
                <w:szCs w:val="16"/>
              </w:rPr>
              <w:t xml:space="preserve"> is consistent with the recommendations of the local strategy MRRRS adopted by Muswellbrook</w:t>
            </w:r>
            <w:r w:rsidR="004F3070" w:rsidRPr="00FD3363">
              <w:rPr>
                <w:rFonts w:asciiTheme="majorHAnsi" w:hAnsiTheme="majorHAnsi" w:cs="Arial"/>
                <w:spacing w:val="-3"/>
                <w:sz w:val="16"/>
                <w:szCs w:val="16"/>
              </w:rPr>
              <w:t xml:space="preserve"> Shire</w:t>
            </w:r>
            <w:r w:rsidRPr="00FD3363">
              <w:rPr>
                <w:rFonts w:asciiTheme="majorHAnsi" w:hAnsiTheme="majorHAnsi" w:cs="Arial"/>
                <w:spacing w:val="-3"/>
                <w:sz w:val="16"/>
                <w:szCs w:val="16"/>
              </w:rPr>
              <w:t xml:space="preserve"> Council</w:t>
            </w:r>
            <w:r w:rsidR="00E35CBD">
              <w:rPr>
                <w:rFonts w:asciiTheme="majorHAnsi" w:hAnsiTheme="majorHAnsi" w:cs="Arial"/>
                <w:spacing w:val="-3"/>
                <w:sz w:val="16"/>
                <w:szCs w:val="16"/>
              </w:rPr>
              <w:t xml:space="preserve">. </w:t>
            </w:r>
            <w:r w:rsidR="00591A94">
              <w:rPr>
                <w:rFonts w:asciiTheme="majorHAnsi" w:hAnsiTheme="majorHAnsi" w:cs="Arial"/>
                <w:spacing w:val="-3"/>
                <w:sz w:val="16"/>
                <w:szCs w:val="16"/>
              </w:rPr>
              <w:t>NSW Department of Primary Industries</w:t>
            </w:r>
            <w:r w:rsidR="00E35CBD">
              <w:rPr>
                <w:rFonts w:asciiTheme="majorHAnsi" w:hAnsiTheme="majorHAnsi" w:cs="Arial"/>
                <w:spacing w:val="-3"/>
                <w:sz w:val="16"/>
                <w:szCs w:val="16"/>
              </w:rPr>
              <w:t xml:space="preserve"> (NSW Agriculture)</w:t>
            </w:r>
            <w:r w:rsidR="00591A94">
              <w:rPr>
                <w:rFonts w:asciiTheme="majorHAnsi" w:hAnsiTheme="majorHAnsi" w:cs="Arial"/>
                <w:spacing w:val="-3"/>
                <w:sz w:val="16"/>
                <w:szCs w:val="16"/>
              </w:rPr>
              <w:t xml:space="preserve"> have advised they have no obje</w:t>
            </w:r>
            <w:r w:rsidR="004533EE">
              <w:rPr>
                <w:rFonts w:asciiTheme="majorHAnsi" w:hAnsiTheme="majorHAnsi" w:cs="Arial"/>
                <w:spacing w:val="-3"/>
                <w:sz w:val="16"/>
                <w:szCs w:val="16"/>
              </w:rPr>
              <w:t>ction to the proposed rezoning and supported it on the grounds of MRRRS.</w:t>
            </w:r>
          </w:p>
          <w:p w:rsidR="00E35CBD" w:rsidRDefault="00186063" w:rsidP="000E49C9">
            <w:pPr>
              <w:spacing w:before="80" w:after="80"/>
              <w:rPr>
                <w:rFonts w:asciiTheme="majorHAnsi" w:hAnsiTheme="majorHAnsi" w:cs="Arial"/>
                <w:spacing w:val="-3"/>
                <w:sz w:val="16"/>
                <w:szCs w:val="16"/>
              </w:rPr>
            </w:pPr>
            <w:r>
              <w:rPr>
                <w:rFonts w:asciiTheme="majorHAnsi" w:hAnsiTheme="majorHAnsi" w:cs="Arial"/>
                <w:spacing w:val="-3"/>
                <w:sz w:val="16"/>
                <w:szCs w:val="16"/>
              </w:rPr>
              <w:t xml:space="preserve">As highlighted by the soil and land capability assessment previously undertaken for the site and included in </w:t>
            </w:r>
            <w:r w:rsidRPr="00E35CBD">
              <w:rPr>
                <w:rFonts w:asciiTheme="majorHAnsi" w:hAnsiTheme="majorHAnsi" w:cs="Arial"/>
                <w:b/>
                <w:spacing w:val="-3"/>
                <w:sz w:val="16"/>
                <w:szCs w:val="16"/>
              </w:rPr>
              <w:t>Appendix 1</w:t>
            </w:r>
            <w:r>
              <w:rPr>
                <w:rFonts w:asciiTheme="majorHAnsi" w:hAnsiTheme="majorHAnsi" w:cs="Arial"/>
                <w:spacing w:val="-3"/>
                <w:sz w:val="16"/>
                <w:szCs w:val="16"/>
              </w:rPr>
              <w:t xml:space="preserve"> to this report, t</w:t>
            </w:r>
            <w:r w:rsidR="001A41FF" w:rsidRPr="00FD3363">
              <w:rPr>
                <w:rFonts w:asciiTheme="majorHAnsi" w:hAnsiTheme="majorHAnsi" w:cs="Arial"/>
                <w:spacing w:val="-3"/>
                <w:sz w:val="16"/>
                <w:szCs w:val="16"/>
              </w:rPr>
              <w:t xml:space="preserve">he land the subject of this application is </w:t>
            </w:r>
            <w:r>
              <w:rPr>
                <w:rFonts w:asciiTheme="majorHAnsi" w:hAnsiTheme="majorHAnsi" w:cs="Arial"/>
                <w:spacing w:val="-3"/>
                <w:sz w:val="16"/>
                <w:szCs w:val="16"/>
              </w:rPr>
              <w:t xml:space="preserve">Class IV land and </w:t>
            </w:r>
            <w:r w:rsidR="00591A94">
              <w:rPr>
                <w:rFonts w:asciiTheme="majorHAnsi" w:hAnsiTheme="majorHAnsi" w:cs="Arial"/>
                <w:spacing w:val="-3"/>
                <w:sz w:val="16"/>
                <w:szCs w:val="16"/>
              </w:rPr>
              <w:t xml:space="preserve">the site does not have a history of agricultural </w:t>
            </w:r>
            <w:r w:rsidR="0073312B">
              <w:rPr>
                <w:rFonts w:asciiTheme="majorHAnsi" w:hAnsiTheme="majorHAnsi" w:cs="Arial"/>
                <w:spacing w:val="-3"/>
                <w:sz w:val="16"/>
                <w:szCs w:val="16"/>
              </w:rPr>
              <w:t>use</w:t>
            </w:r>
            <w:r>
              <w:rPr>
                <w:rFonts w:asciiTheme="majorHAnsi" w:hAnsiTheme="majorHAnsi" w:cs="Arial"/>
                <w:spacing w:val="-3"/>
                <w:sz w:val="16"/>
                <w:szCs w:val="16"/>
              </w:rPr>
              <w:t xml:space="preserve">.  </w:t>
            </w:r>
            <w:r w:rsidR="000E49C9">
              <w:rPr>
                <w:rFonts w:asciiTheme="majorHAnsi" w:hAnsiTheme="majorHAnsi" w:cs="Arial"/>
                <w:spacing w:val="-3"/>
                <w:sz w:val="16"/>
                <w:szCs w:val="16"/>
              </w:rPr>
              <w:t xml:space="preserve">The land has not historically been used for viticultural purposes and was identified early on as not being of sufficient agricultural quality to be used for commercial viticultural purposes.  </w:t>
            </w:r>
            <w:r>
              <w:rPr>
                <w:rFonts w:asciiTheme="majorHAnsi" w:hAnsiTheme="majorHAnsi" w:cs="Arial"/>
                <w:spacing w:val="-3"/>
                <w:sz w:val="16"/>
                <w:szCs w:val="16"/>
              </w:rPr>
              <w:t xml:space="preserve">The use of the land for large lot housing purposes is not inconsistent with the Class IV land classification and </w:t>
            </w:r>
            <w:r w:rsidR="000E49C9">
              <w:rPr>
                <w:rFonts w:asciiTheme="majorHAnsi" w:hAnsiTheme="majorHAnsi" w:cs="Arial"/>
                <w:spacing w:val="-3"/>
                <w:sz w:val="16"/>
                <w:szCs w:val="16"/>
              </w:rPr>
              <w:t xml:space="preserve">will not reduce the amount of productive agricultural land used by the adjoining Two </w:t>
            </w:r>
            <w:r w:rsidR="00CA65AC">
              <w:rPr>
                <w:rFonts w:asciiTheme="majorHAnsi" w:hAnsiTheme="majorHAnsi" w:cs="Arial"/>
                <w:spacing w:val="-3"/>
                <w:sz w:val="16"/>
                <w:szCs w:val="16"/>
              </w:rPr>
              <w:t>Rivers vineyard</w:t>
            </w:r>
            <w:r w:rsidR="000E49C9">
              <w:rPr>
                <w:rFonts w:asciiTheme="majorHAnsi" w:hAnsiTheme="majorHAnsi" w:cs="Arial"/>
                <w:spacing w:val="-3"/>
                <w:sz w:val="16"/>
                <w:szCs w:val="16"/>
              </w:rPr>
              <w:t xml:space="preserve">. </w:t>
            </w:r>
          </w:p>
          <w:p w:rsidR="009D050C" w:rsidRDefault="00CA65AC" w:rsidP="000E49C9">
            <w:pPr>
              <w:spacing w:before="80" w:after="80"/>
              <w:rPr>
                <w:rFonts w:asciiTheme="majorHAnsi" w:hAnsiTheme="majorHAnsi" w:cs="Arial"/>
                <w:spacing w:val="-3"/>
                <w:sz w:val="16"/>
                <w:szCs w:val="16"/>
              </w:rPr>
            </w:pPr>
            <w:r>
              <w:rPr>
                <w:rFonts w:asciiTheme="majorHAnsi" w:hAnsiTheme="majorHAnsi" w:cs="Arial"/>
                <w:spacing w:val="-3"/>
                <w:sz w:val="16"/>
                <w:szCs w:val="16"/>
              </w:rPr>
              <w:t xml:space="preserve">The rezoning and future development of the land will be undertaken by the owner of the adjoining Two Rivers vineyard, ensuring that adequate buffer zones and setbacks are adopted to avoid any land use conflict.  </w:t>
            </w:r>
            <w:r w:rsidR="0073312B">
              <w:rPr>
                <w:rFonts w:asciiTheme="majorHAnsi" w:hAnsiTheme="majorHAnsi" w:cs="Arial"/>
                <w:spacing w:val="-3"/>
                <w:sz w:val="16"/>
                <w:szCs w:val="16"/>
              </w:rPr>
              <w:t xml:space="preserve">A concept layout plan reinforces this is achievable on site. </w:t>
            </w:r>
            <w:r w:rsidR="000E49C9">
              <w:rPr>
                <w:rFonts w:asciiTheme="majorHAnsi" w:hAnsiTheme="majorHAnsi" w:cs="Arial"/>
                <w:spacing w:val="-3"/>
                <w:sz w:val="16"/>
                <w:szCs w:val="16"/>
              </w:rPr>
              <w:t xml:space="preserve">The rezoning of the site </w:t>
            </w:r>
            <w:r w:rsidR="00186063">
              <w:rPr>
                <w:rFonts w:asciiTheme="majorHAnsi" w:hAnsiTheme="majorHAnsi" w:cs="Arial"/>
                <w:spacing w:val="-3"/>
                <w:sz w:val="16"/>
                <w:szCs w:val="16"/>
              </w:rPr>
              <w:t xml:space="preserve">for large lot housing purposes is not an incompatible land use with the adjoining vineyards </w:t>
            </w:r>
            <w:r w:rsidR="001A41FF" w:rsidRPr="00FD3363">
              <w:rPr>
                <w:rFonts w:asciiTheme="majorHAnsi" w:hAnsiTheme="majorHAnsi" w:cs="Arial"/>
                <w:spacing w:val="-3"/>
                <w:sz w:val="16"/>
                <w:szCs w:val="16"/>
              </w:rPr>
              <w:t xml:space="preserve">and </w:t>
            </w:r>
            <w:r w:rsidR="000E49C9">
              <w:rPr>
                <w:rFonts w:asciiTheme="majorHAnsi" w:hAnsiTheme="majorHAnsi" w:cs="Arial"/>
                <w:spacing w:val="-3"/>
                <w:sz w:val="16"/>
                <w:szCs w:val="16"/>
              </w:rPr>
              <w:t xml:space="preserve">the land </w:t>
            </w:r>
            <w:r w:rsidR="001A41FF" w:rsidRPr="00FD3363">
              <w:rPr>
                <w:rFonts w:asciiTheme="majorHAnsi" w:hAnsiTheme="majorHAnsi" w:cs="Arial"/>
                <w:spacing w:val="-3"/>
                <w:sz w:val="16"/>
                <w:szCs w:val="16"/>
              </w:rPr>
              <w:t xml:space="preserve">can be developed without adversely impacting on </w:t>
            </w:r>
            <w:r w:rsidR="000E49C9">
              <w:rPr>
                <w:rFonts w:asciiTheme="majorHAnsi" w:hAnsiTheme="majorHAnsi" w:cs="Arial"/>
                <w:spacing w:val="-3"/>
                <w:sz w:val="16"/>
                <w:szCs w:val="16"/>
              </w:rPr>
              <w:t xml:space="preserve">the agricultural productivity of this established viticultural business. </w:t>
            </w:r>
          </w:p>
          <w:p w:rsidR="004724B3" w:rsidRPr="009D050C" w:rsidRDefault="00367AF7" w:rsidP="009D050C">
            <w:pPr>
              <w:spacing w:before="80" w:after="80"/>
              <w:rPr>
                <w:rFonts w:asciiTheme="majorHAnsi" w:hAnsiTheme="majorHAnsi" w:cs="Arial"/>
                <w:spacing w:val="-3"/>
                <w:sz w:val="16"/>
                <w:szCs w:val="16"/>
              </w:rPr>
            </w:pPr>
            <w:r w:rsidRPr="00367AF7">
              <w:rPr>
                <w:rFonts w:asciiTheme="majorHAnsi" w:hAnsiTheme="majorHAnsi"/>
                <w:color w:val="000000"/>
                <w:sz w:val="16"/>
                <w:lang w:eastAsia="en-AU"/>
              </w:rPr>
              <w:t xml:space="preserve">The development of the land for low density rural residential housing purposes is a compatible land use with the adjoining Two Rivers vineyard, which is a thriving and productive viticultural business.   </w:t>
            </w:r>
            <w:r w:rsidRPr="00367AF7">
              <w:rPr>
                <w:rFonts w:asciiTheme="majorHAnsi" w:hAnsiTheme="majorHAnsi"/>
                <w:sz w:val="16"/>
              </w:rPr>
              <w:t xml:space="preserve"> The owners of Two Rivers are committed commercial wine makers and they </w:t>
            </w:r>
            <w:r w:rsidR="009D050C">
              <w:rPr>
                <w:rFonts w:asciiTheme="majorHAnsi" w:hAnsiTheme="majorHAnsi"/>
                <w:sz w:val="16"/>
              </w:rPr>
              <w:t>will</w:t>
            </w:r>
            <w:r w:rsidRPr="00367AF7">
              <w:rPr>
                <w:rFonts w:asciiTheme="majorHAnsi" w:hAnsiTheme="majorHAnsi"/>
                <w:sz w:val="16"/>
              </w:rPr>
              <w:t xml:space="preserve"> not jeopardise the long term economic future of commercial viticulture by proposing or developing an incompatible land use. The use of the site for rural residential housing purposes, designed to be compatible with the adjoining vineyard lands </w:t>
            </w:r>
            <w:r w:rsidR="009D050C">
              <w:rPr>
                <w:rFonts w:asciiTheme="majorHAnsi" w:hAnsiTheme="majorHAnsi"/>
                <w:sz w:val="16"/>
              </w:rPr>
              <w:t>is consistent with objective</w:t>
            </w:r>
            <w:r w:rsidRPr="00367AF7">
              <w:rPr>
                <w:rFonts w:asciiTheme="majorHAnsi" w:hAnsiTheme="majorHAnsi"/>
                <w:sz w:val="16"/>
              </w:rPr>
              <w:t xml:space="preserve"> of Direction 1.2.</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1.3 Mining, Petroleum Production and Extractive Industries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The objective of this direction is to ensure that the future </w:t>
            </w:r>
            <w:r w:rsidR="00D42DBD" w:rsidRPr="00FD3363">
              <w:rPr>
                <w:rFonts w:asciiTheme="majorHAnsi" w:hAnsiTheme="majorHAnsi" w:cs="Arial"/>
                <w:sz w:val="16"/>
                <w:szCs w:val="16"/>
              </w:rPr>
              <w:t>extraction of State or regionally significant reserves coal, other minerals, petroleum and extractive materials is</w:t>
            </w:r>
            <w:r w:rsidRPr="00FD3363">
              <w:rPr>
                <w:rFonts w:asciiTheme="majorHAnsi" w:hAnsiTheme="majorHAnsi" w:cs="Arial"/>
                <w:sz w:val="16"/>
                <w:szCs w:val="16"/>
              </w:rPr>
              <w:t xml:space="preserve"> not compromised by inappropriate development.</w:t>
            </w:r>
          </w:p>
        </w:tc>
        <w:tc>
          <w:tcPr>
            <w:tcW w:w="4169" w:type="dxa"/>
          </w:tcPr>
          <w:p w:rsidR="004724B3" w:rsidRPr="00FD3363" w:rsidRDefault="009948E2" w:rsidP="008B3B98">
            <w:pPr>
              <w:spacing w:before="80" w:after="80"/>
              <w:rPr>
                <w:rFonts w:asciiTheme="majorHAnsi" w:hAnsiTheme="majorHAnsi" w:cs="Arial"/>
                <w:sz w:val="16"/>
                <w:szCs w:val="16"/>
              </w:rPr>
            </w:pPr>
            <w:r w:rsidRPr="00FD3363">
              <w:rPr>
                <w:rFonts w:asciiTheme="majorHAnsi" w:hAnsiTheme="majorHAnsi" w:cs="Arial"/>
                <w:sz w:val="16"/>
                <w:szCs w:val="16"/>
              </w:rPr>
              <w:t xml:space="preserve">This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will rezone the land to R5 Large Lot </w:t>
            </w:r>
            <w:r w:rsidR="00D42DBD" w:rsidRPr="00FD3363">
              <w:rPr>
                <w:rFonts w:asciiTheme="majorHAnsi" w:hAnsiTheme="majorHAnsi" w:cs="Arial"/>
                <w:sz w:val="16"/>
                <w:szCs w:val="16"/>
              </w:rPr>
              <w:t>Residential, which</w:t>
            </w:r>
            <w:r w:rsidRPr="00FD3363">
              <w:rPr>
                <w:rFonts w:asciiTheme="majorHAnsi" w:hAnsiTheme="majorHAnsi" w:cs="Arial"/>
                <w:sz w:val="16"/>
                <w:szCs w:val="16"/>
              </w:rPr>
              <w:t xml:space="preserve"> does not permit extractive industries. Given the proximity of the site to the existing Denman Village and the established Two Rivers Vineyard, it is </w:t>
            </w:r>
            <w:r w:rsidR="0073312B">
              <w:rPr>
                <w:rFonts w:asciiTheme="majorHAnsi" w:hAnsiTheme="majorHAnsi" w:cs="Arial"/>
                <w:sz w:val="16"/>
                <w:szCs w:val="16"/>
              </w:rPr>
              <w:t xml:space="preserve">clear that </w:t>
            </w:r>
            <w:r w:rsidRPr="00FD3363">
              <w:rPr>
                <w:rFonts w:asciiTheme="majorHAnsi" w:hAnsiTheme="majorHAnsi" w:cs="Arial"/>
                <w:sz w:val="16"/>
                <w:szCs w:val="16"/>
              </w:rPr>
              <w:t xml:space="preserve">the site would </w:t>
            </w:r>
            <w:r w:rsidR="0073312B">
              <w:rPr>
                <w:rFonts w:asciiTheme="majorHAnsi" w:hAnsiTheme="majorHAnsi" w:cs="Arial"/>
                <w:sz w:val="16"/>
                <w:szCs w:val="16"/>
              </w:rPr>
              <w:t xml:space="preserve">not </w:t>
            </w:r>
            <w:r w:rsidRPr="00FD3363">
              <w:rPr>
                <w:rFonts w:asciiTheme="majorHAnsi" w:hAnsiTheme="majorHAnsi" w:cs="Arial"/>
                <w:sz w:val="16"/>
                <w:szCs w:val="16"/>
              </w:rPr>
              <w:t>be dee</w:t>
            </w:r>
            <w:r w:rsidR="007D246E" w:rsidRPr="00FD3363">
              <w:rPr>
                <w:rFonts w:asciiTheme="majorHAnsi" w:hAnsiTheme="majorHAnsi" w:cs="Arial"/>
                <w:sz w:val="16"/>
                <w:szCs w:val="16"/>
              </w:rPr>
              <w:t>med suitable for future mining.</w:t>
            </w:r>
            <w:r w:rsidRPr="00FD3363">
              <w:rPr>
                <w:rFonts w:asciiTheme="majorHAnsi" w:hAnsiTheme="majorHAnsi" w:cs="Arial"/>
                <w:sz w:val="16"/>
                <w:szCs w:val="16"/>
              </w:rPr>
              <w:t xml:space="preserve"> </w:t>
            </w:r>
            <w:r w:rsidR="0073312B">
              <w:rPr>
                <w:rFonts w:asciiTheme="majorHAnsi" w:hAnsiTheme="majorHAnsi" w:cs="Arial"/>
                <w:sz w:val="16"/>
                <w:szCs w:val="16"/>
              </w:rPr>
              <w:t xml:space="preserve">A position reinforced by NSW Trade &amp; Investment (Resources &amp; Energy) advice provided in </w:t>
            </w:r>
            <w:r w:rsidR="0073312B" w:rsidRPr="008B3B98">
              <w:rPr>
                <w:rFonts w:asciiTheme="majorHAnsi" w:hAnsiTheme="majorHAnsi" w:cs="Arial"/>
                <w:b/>
                <w:sz w:val="16"/>
                <w:szCs w:val="16"/>
              </w:rPr>
              <w:t xml:space="preserve">Appendix </w:t>
            </w:r>
            <w:r w:rsidR="008B3B98" w:rsidRPr="008B3B98">
              <w:rPr>
                <w:rFonts w:asciiTheme="majorHAnsi" w:hAnsiTheme="majorHAnsi" w:cs="Arial"/>
                <w:b/>
                <w:sz w:val="16"/>
                <w:szCs w:val="16"/>
              </w:rPr>
              <w:t>3</w:t>
            </w:r>
            <w:r w:rsidR="0073312B" w:rsidRPr="008B3B98">
              <w:rPr>
                <w:rFonts w:asciiTheme="majorHAnsi" w:hAnsiTheme="majorHAnsi" w:cs="Arial"/>
                <w:b/>
                <w:sz w:val="16"/>
                <w:szCs w:val="16"/>
              </w:rPr>
              <w:t>.</w:t>
            </w:r>
            <w:r w:rsidRPr="00FD3363">
              <w:rPr>
                <w:rFonts w:asciiTheme="majorHAnsi" w:hAnsiTheme="majorHAnsi" w:cs="Arial"/>
                <w:sz w:val="16"/>
                <w:szCs w:val="16"/>
              </w:rPr>
              <w:t>The site has been identified in the adopted MRRRS as the preferred candidate area of rural residential housing</w:t>
            </w:r>
            <w:r w:rsidR="004C1D59" w:rsidRPr="00FD3363">
              <w:rPr>
                <w:rFonts w:asciiTheme="majorHAnsi" w:hAnsiTheme="majorHAnsi" w:cs="Arial"/>
                <w:sz w:val="16"/>
                <w:szCs w:val="16"/>
              </w:rPr>
              <w:t>, and</w:t>
            </w:r>
            <w:r w:rsidRPr="00FD3363">
              <w:rPr>
                <w:rFonts w:asciiTheme="majorHAnsi" w:hAnsiTheme="majorHAnsi" w:cs="Arial"/>
                <w:sz w:val="16"/>
                <w:szCs w:val="16"/>
              </w:rPr>
              <w:t xml:space="preserve"> t</w:t>
            </w:r>
            <w:r w:rsidR="004C1D59" w:rsidRPr="00FD3363">
              <w:rPr>
                <w:rFonts w:asciiTheme="majorHAnsi" w:hAnsiTheme="majorHAnsi" w:cs="Arial"/>
                <w:sz w:val="16"/>
                <w:szCs w:val="16"/>
              </w:rPr>
              <w:t>he proposal is not viewed</w:t>
            </w:r>
            <w:r w:rsidR="004724B3" w:rsidRPr="00FD3363">
              <w:rPr>
                <w:rFonts w:asciiTheme="majorHAnsi" w:hAnsiTheme="majorHAnsi" w:cs="Arial"/>
                <w:sz w:val="16"/>
                <w:szCs w:val="16"/>
              </w:rPr>
              <w:t xml:space="preserve"> </w:t>
            </w:r>
            <w:r w:rsidR="004C1D59" w:rsidRPr="00FD3363">
              <w:rPr>
                <w:rFonts w:asciiTheme="majorHAnsi" w:hAnsiTheme="majorHAnsi" w:cs="Arial"/>
                <w:sz w:val="16"/>
                <w:szCs w:val="16"/>
              </w:rPr>
              <w:t xml:space="preserve">as </w:t>
            </w:r>
            <w:r w:rsidR="004724B3" w:rsidRPr="00FD3363">
              <w:rPr>
                <w:rFonts w:asciiTheme="majorHAnsi" w:hAnsiTheme="majorHAnsi" w:cs="Arial"/>
                <w:sz w:val="16"/>
                <w:szCs w:val="16"/>
              </w:rPr>
              <w:t>restrict</w:t>
            </w:r>
            <w:r w:rsidR="004C1D59" w:rsidRPr="00FD3363">
              <w:rPr>
                <w:rFonts w:asciiTheme="majorHAnsi" w:hAnsiTheme="majorHAnsi" w:cs="Arial"/>
                <w:sz w:val="16"/>
                <w:szCs w:val="16"/>
              </w:rPr>
              <w:t>ing</w:t>
            </w:r>
            <w:r w:rsidR="004724B3" w:rsidRPr="00FD3363">
              <w:rPr>
                <w:rFonts w:asciiTheme="majorHAnsi" w:hAnsiTheme="majorHAnsi" w:cs="Arial"/>
                <w:sz w:val="16"/>
                <w:szCs w:val="16"/>
              </w:rPr>
              <w:t xml:space="preserve"> the potential development of resources of coal or other extractive materials which are of State or regional significance.</w:t>
            </w:r>
            <w:r w:rsidR="006F1ACB" w:rsidRPr="00FD3363">
              <w:rPr>
                <w:rFonts w:asciiTheme="majorHAnsi" w:hAnsiTheme="majorHAnsi" w:cs="Arial"/>
                <w:sz w:val="16"/>
                <w:szCs w:val="16"/>
              </w:rPr>
              <w:t xml:space="preserve">  The </w:t>
            </w:r>
            <w:r w:rsidR="006C7B49">
              <w:rPr>
                <w:rFonts w:asciiTheme="majorHAnsi" w:hAnsiTheme="majorHAnsi" w:cs="Arial"/>
                <w:sz w:val="16"/>
                <w:szCs w:val="16"/>
              </w:rPr>
              <w:t>Planning Proposal</w:t>
            </w:r>
            <w:r w:rsidR="006F1ACB" w:rsidRPr="00FD3363">
              <w:rPr>
                <w:rFonts w:asciiTheme="majorHAnsi" w:hAnsiTheme="majorHAnsi" w:cs="Arial"/>
                <w:sz w:val="16"/>
                <w:szCs w:val="16"/>
              </w:rPr>
              <w:t xml:space="preserve"> is considered to be consistent with the intent of this direction. </w:t>
            </w:r>
            <w:r w:rsidR="006F1ACB" w:rsidRPr="00FD3363">
              <w:rPr>
                <w:rFonts w:asciiTheme="majorHAnsi" w:hAnsiTheme="majorHAnsi"/>
                <w:sz w:val="16"/>
                <w:szCs w:val="16"/>
              </w:rPr>
              <w:t xml:space="preserve">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highlight w:val="yellow"/>
              </w:rPr>
            </w:pPr>
            <w:r w:rsidRPr="00FD3363">
              <w:rPr>
                <w:rFonts w:asciiTheme="majorHAnsi" w:hAnsiTheme="majorHAnsi" w:cs="Arial"/>
                <w:sz w:val="16"/>
                <w:szCs w:val="16"/>
              </w:rPr>
              <w:t>1.5 Rural Lands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protect the agricultural production value of rural land and facilitate the economic development of rural lands for rural related purposes.</w:t>
            </w:r>
          </w:p>
          <w:p w:rsidR="004724B3" w:rsidRPr="00FD3363" w:rsidRDefault="004724B3" w:rsidP="00FD3363">
            <w:pPr>
              <w:spacing w:before="80" w:after="80"/>
              <w:rPr>
                <w:rFonts w:asciiTheme="majorHAnsi" w:hAnsiTheme="majorHAnsi" w:cs="Arial"/>
                <w:sz w:val="16"/>
                <w:szCs w:val="16"/>
                <w:highlight w:val="yellow"/>
              </w:rPr>
            </w:pPr>
          </w:p>
        </w:tc>
        <w:tc>
          <w:tcPr>
            <w:tcW w:w="4169" w:type="dxa"/>
          </w:tcPr>
          <w:p w:rsidR="0003605F" w:rsidRDefault="00A029CA" w:rsidP="00FD3363">
            <w:pPr>
              <w:spacing w:before="80" w:after="80"/>
              <w:rPr>
                <w:rFonts w:asciiTheme="majorHAnsi" w:hAnsiTheme="majorHAnsi" w:cs="Arial"/>
                <w:sz w:val="16"/>
                <w:szCs w:val="16"/>
              </w:rPr>
            </w:pPr>
            <w:r w:rsidRPr="00FD3363">
              <w:rPr>
                <w:rFonts w:asciiTheme="majorHAnsi" w:hAnsiTheme="majorHAnsi" w:cs="Arial"/>
                <w:sz w:val="16"/>
                <w:szCs w:val="16"/>
              </w:rPr>
              <w:t>This proposal seeks to rezone the land fro</w:t>
            </w:r>
            <w:r w:rsidR="004F3070" w:rsidRPr="00FD3363">
              <w:rPr>
                <w:rFonts w:asciiTheme="majorHAnsi" w:hAnsiTheme="majorHAnsi" w:cs="Arial"/>
                <w:sz w:val="16"/>
                <w:szCs w:val="16"/>
              </w:rPr>
              <w:t>m RU1 Primary Production to R5 L</w:t>
            </w:r>
            <w:r w:rsidRPr="00FD3363">
              <w:rPr>
                <w:rFonts w:asciiTheme="majorHAnsi" w:hAnsiTheme="majorHAnsi" w:cs="Arial"/>
                <w:sz w:val="16"/>
                <w:szCs w:val="16"/>
              </w:rPr>
              <w:t xml:space="preserve">arge Lot Residential. The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is consistent with the recommendations of the local strategy MRRRS adopted by Muswellbrook </w:t>
            </w:r>
            <w:r w:rsidR="004F3070" w:rsidRPr="00FD3363">
              <w:rPr>
                <w:rFonts w:asciiTheme="majorHAnsi" w:hAnsiTheme="majorHAnsi" w:cs="Arial"/>
                <w:sz w:val="16"/>
                <w:szCs w:val="16"/>
              </w:rPr>
              <w:t xml:space="preserve">Shire </w:t>
            </w:r>
            <w:r w:rsidR="00E35CBD">
              <w:rPr>
                <w:rFonts w:asciiTheme="majorHAnsi" w:hAnsiTheme="majorHAnsi" w:cs="Arial"/>
                <w:sz w:val="16"/>
                <w:szCs w:val="16"/>
              </w:rPr>
              <w:t>Council.</w:t>
            </w:r>
          </w:p>
          <w:p w:rsidR="009D050C" w:rsidRDefault="0003605F" w:rsidP="00FD3363">
            <w:pPr>
              <w:spacing w:before="80" w:after="80"/>
              <w:rPr>
                <w:rFonts w:asciiTheme="majorHAnsi" w:hAnsiTheme="majorHAnsi" w:cs="Arial"/>
                <w:spacing w:val="-3"/>
                <w:sz w:val="16"/>
                <w:szCs w:val="16"/>
              </w:rPr>
            </w:pPr>
            <w:r>
              <w:rPr>
                <w:rFonts w:asciiTheme="majorHAnsi" w:hAnsiTheme="majorHAnsi" w:cs="Arial"/>
                <w:spacing w:val="-3"/>
                <w:sz w:val="16"/>
                <w:szCs w:val="16"/>
              </w:rPr>
              <w:t xml:space="preserve">As highlighted by the soil and land capability assessment </w:t>
            </w:r>
            <w:r>
              <w:rPr>
                <w:rFonts w:asciiTheme="majorHAnsi" w:hAnsiTheme="majorHAnsi" w:cs="Arial"/>
                <w:spacing w:val="-3"/>
                <w:sz w:val="16"/>
                <w:szCs w:val="16"/>
              </w:rPr>
              <w:lastRenderedPageBreak/>
              <w:t xml:space="preserve">previously undertaken for the site and included in </w:t>
            </w:r>
            <w:r w:rsidRPr="00E35CBD">
              <w:rPr>
                <w:rFonts w:asciiTheme="majorHAnsi" w:hAnsiTheme="majorHAnsi" w:cs="Arial"/>
                <w:b/>
                <w:spacing w:val="-3"/>
                <w:sz w:val="16"/>
                <w:szCs w:val="16"/>
              </w:rPr>
              <w:t>Appendix 1</w:t>
            </w:r>
            <w:r>
              <w:rPr>
                <w:rFonts w:asciiTheme="majorHAnsi" w:hAnsiTheme="majorHAnsi" w:cs="Arial"/>
                <w:spacing w:val="-3"/>
                <w:sz w:val="16"/>
                <w:szCs w:val="16"/>
              </w:rPr>
              <w:t xml:space="preserve"> to this report, t</w:t>
            </w:r>
            <w:r w:rsidRPr="00FD3363">
              <w:rPr>
                <w:rFonts w:asciiTheme="majorHAnsi" w:hAnsiTheme="majorHAnsi" w:cs="Arial"/>
                <w:spacing w:val="-3"/>
                <w:sz w:val="16"/>
                <w:szCs w:val="16"/>
              </w:rPr>
              <w:t xml:space="preserve">he land the subject of this application is </w:t>
            </w:r>
            <w:r>
              <w:rPr>
                <w:rFonts w:asciiTheme="majorHAnsi" w:hAnsiTheme="majorHAnsi" w:cs="Arial"/>
                <w:spacing w:val="-3"/>
                <w:sz w:val="16"/>
                <w:szCs w:val="16"/>
              </w:rPr>
              <w:t xml:space="preserve">Class IV land and </w:t>
            </w:r>
            <w:r w:rsidR="0073312B">
              <w:rPr>
                <w:rFonts w:asciiTheme="majorHAnsi" w:hAnsiTheme="majorHAnsi" w:cs="Arial"/>
                <w:spacing w:val="-3"/>
                <w:sz w:val="16"/>
                <w:szCs w:val="16"/>
              </w:rPr>
              <w:t xml:space="preserve">does not have a history of agricultural use. </w:t>
            </w:r>
            <w:r>
              <w:rPr>
                <w:rFonts w:asciiTheme="majorHAnsi" w:hAnsiTheme="majorHAnsi" w:cs="Arial"/>
                <w:spacing w:val="-3"/>
                <w:sz w:val="16"/>
                <w:szCs w:val="16"/>
              </w:rPr>
              <w:t xml:space="preserve">The land has not historically been used for viticultural purposes and was identified early on as not being of sufficient agricultural quality to be used for commercial viticultural purposes.  The use of the land for large lot housing purposes is not inconsistent with the Class IV land classification and will not reduce the amount of productive agricultural land used by the adjoining Two </w:t>
            </w:r>
            <w:r w:rsidR="00CA65AC">
              <w:rPr>
                <w:rFonts w:asciiTheme="majorHAnsi" w:hAnsiTheme="majorHAnsi" w:cs="Arial"/>
                <w:spacing w:val="-3"/>
                <w:sz w:val="16"/>
                <w:szCs w:val="16"/>
              </w:rPr>
              <w:t>Rivers vineyard</w:t>
            </w:r>
            <w:r>
              <w:rPr>
                <w:rFonts w:asciiTheme="majorHAnsi" w:hAnsiTheme="majorHAnsi" w:cs="Arial"/>
                <w:spacing w:val="-3"/>
                <w:sz w:val="16"/>
                <w:szCs w:val="16"/>
              </w:rPr>
              <w:t>. The rezoning and future development of the land will be undertaken by the owner of the adjoining Two Rivers vineyard ensuring that adequate buffer zones and setbacks are adopted to avoid any land use conflict</w:t>
            </w:r>
            <w:r w:rsidR="0073312B">
              <w:rPr>
                <w:rFonts w:asciiTheme="majorHAnsi" w:hAnsiTheme="majorHAnsi" w:cs="Arial"/>
                <w:spacing w:val="-3"/>
                <w:sz w:val="16"/>
                <w:szCs w:val="16"/>
              </w:rPr>
              <w:t>.</w:t>
            </w:r>
            <w:r>
              <w:rPr>
                <w:rFonts w:asciiTheme="majorHAnsi" w:hAnsiTheme="majorHAnsi" w:cs="Arial"/>
                <w:spacing w:val="-3"/>
                <w:sz w:val="16"/>
                <w:szCs w:val="16"/>
              </w:rPr>
              <w:t xml:space="preserve">   The rezoning of the site for large lot housing purposes is not an incompatible land use with the adjoining vineyards </w:t>
            </w:r>
            <w:r w:rsidRPr="00FD3363">
              <w:rPr>
                <w:rFonts w:asciiTheme="majorHAnsi" w:hAnsiTheme="majorHAnsi" w:cs="Arial"/>
                <w:spacing w:val="-3"/>
                <w:sz w:val="16"/>
                <w:szCs w:val="16"/>
              </w:rPr>
              <w:t xml:space="preserve">and </w:t>
            </w:r>
            <w:r>
              <w:rPr>
                <w:rFonts w:asciiTheme="majorHAnsi" w:hAnsiTheme="majorHAnsi" w:cs="Arial"/>
                <w:spacing w:val="-3"/>
                <w:sz w:val="16"/>
                <w:szCs w:val="16"/>
              </w:rPr>
              <w:t xml:space="preserve">the land </w:t>
            </w:r>
            <w:r w:rsidRPr="00FD3363">
              <w:rPr>
                <w:rFonts w:asciiTheme="majorHAnsi" w:hAnsiTheme="majorHAnsi" w:cs="Arial"/>
                <w:spacing w:val="-3"/>
                <w:sz w:val="16"/>
                <w:szCs w:val="16"/>
              </w:rPr>
              <w:t xml:space="preserve">can be developed without adversely impacting on </w:t>
            </w:r>
            <w:r>
              <w:rPr>
                <w:rFonts w:asciiTheme="majorHAnsi" w:hAnsiTheme="majorHAnsi" w:cs="Arial"/>
                <w:spacing w:val="-3"/>
                <w:sz w:val="16"/>
                <w:szCs w:val="16"/>
              </w:rPr>
              <w:t xml:space="preserve">the agricultural productivity of this established viticultural business.   </w:t>
            </w:r>
          </w:p>
          <w:p w:rsidR="009D050C" w:rsidRDefault="009D050C" w:rsidP="00FD3363">
            <w:pPr>
              <w:spacing w:before="80" w:after="80"/>
              <w:rPr>
                <w:rFonts w:asciiTheme="majorHAnsi" w:hAnsiTheme="majorHAnsi" w:cs="Arial"/>
                <w:spacing w:val="-3"/>
                <w:sz w:val="16"/>
                <w:szCs w:val="16"/>
              </w:rPr>
            </w:pPr>
            <w:r w:rsidRPr="009D050C">
              <w:rPr>
                <w:rFonts w:asciiTheme="majorHAnsi" w:hAnsiTheme="majorHAnsi"/>
                <w:color w:val="000000"/>
                <w:sz w:val="16"/>
                <w:lang w:eastAsia="en-AU"/>
              </w:rPr>
              <w:t xml:space="preserve">The development of the land for low density rural residential housing purposes is a compatible land use with the adjoining Two Rivers vineyard, which is a thriving and productive viticultural business.   </w:t>
            </w:r>
            <w:r w:rsidRPr="009D050C">
              <w:rPr>
                <w:rFonts w:asciiTheme="majorHAnsi" w:hAnsiTheme="majorHAnsi"/>
                <w:sz w:val="16"/>
              </w:rPr>
              <w:t xml:space="preserve"> The owners of Two Rivers are committed commercial wine makers and they </w:t>
            </w:r>
            <w:r>
              <w:rPr>
                <w:rFonts w:asciiTheme="majorHAnsi" w:hAnsiTheme="majorHAnsi"/>
                <w:sz w:val="16"/>
              </w:rPr>
              <w:t>will</w:t>
            </w:r>
            <w:r w:rsidRPr="009D050C">
              <w:rPr>
                <w:rFonts w:asciiTheme="majorHAnsi" w:hAnsiTheme="majorHAnsi"/>
                <w:sz w:val="16"/>
              </w:rPr>
              <w:t xml:space="preserve"> not jeopardise the long term economic future of commercial viticulture by proposing or developing an incompatible land use. The use of the site for rural residential housing purposes, designed to be compatible with the adjoining vineyard lands </w:t>
            </w:r>
            <w:r>
              <w:rPr>
                <w:rFonts w:asciiTheme="majorHAnsi" w:hAnsiTheme="majorHAnsi"/>
                <w:sz w:val="16"/>
              </w:rPr>
              <w:t>is consistent with objective</w:t>
            </w:r>
            <w:r w:rsidRPr="009D050C">
              <w:rPr>
                <w:rFonts w:asciiTheme="majorHAnsi" w:hAnsiTheme="majorHAnsi"/>
                <w:sz w:val="16"/>
              </w:rPr>
              <w:t xml:space="preserve"> of Direction 1.</w:t>
            </w:r>
            <w:r>
              <w:rPr>
                <w:rFonts w:asciiTheme="majorHAnsi" w:hAnsiTheme="majorHAnsi"/>
                <w:sz w:val="16"/>
              </w:rPr>
              <w:t>5</w:t>
            </w:r>
            <w:r w:rsidRPr="009D050C">
              <w:rPr>
                <w:rFonts w:asciiTheme="majorHAnsi" w:hAnsiTheme="majorHAnsi"/>
                <w:sz w:val="16"/>
              </w:rPr>
              <w:t>.</w:t>
            </w:r>
          </w:p>
          <w:p w:rsidR="00FD3363" w:rsidRPr="001E36C7" w:rsidRDefault="0003605F" w:rsidP="00FD3363">
            <w:pPr>
              <w:keepNext/>
              <w:spacing w:before="80" w:after="80"/>
              <w:outlineLvl w:val="1"/>
              <w:rPr>
                <w:rFonts w:asciiTheme="majorHAnsi" w:hAnsiTheme="majorHAnsi" w:cs="Arial"/>
                <w:spacing w:val="-3"/>
                <w:sz w:val="16"/>
                <w:szCs w:val="16"/>
              </w:rPr>
            </w:pPr>
            <w:r>
              <w:rPr>
                <w:rFonts w:asciiTheme="majorHAnsi" w:hAnsiTheme="majorHAnsi" w:cs="Arial"/>
                <w:spacing w:val="-3"/>
                <w:sz w:val="16"/>
                <w:szCs w:val="16"/>
              </w:rPr>
              <w:t xml:space="preserve">Furthermore, support for this proposal would provide large lot </w:t>
            </w:r>
            <w:r w:rsidR="00AF108C">
              <w:rPr>
                <w:rFonts w:asciiTheme="majorHAnsi" w:hAnsiTheme="majorHAnsi" w:cs="Arial"/>
                <w:spacing w:val="-3"/>
                <w:sz w:val="16"/>
                <w:szCs w:val="16"/>
              </w:rPr>
              <w:t>housing at the edge of Denman Village and within close proximity to existing services meaning that other rural land more remote from services and potentially of larger size</w:t>
            </w:r>
            <w:r w:rsidR="001E36C7">
              <w:rPr>
                <w:rFonts w:asciiTheme="majorHAnsi" w:hAnsiTheme="majorHAnsi" w:cs="Arial"/>
                <w:spacing w:val="-3"/>
                <w:sz w:val="16"/>
                <w:szCs w:val="16"/>
              </w:rPr>
              <w:t xml:space="preserve"> and better agricultural quality</w:t>
            </w:r>
            <w:r w:rsidR="00AF108C">
              <w:rPr>
                <w:rFonts w:asciiTheme="majorHAnsi" w:hAnsiTheme="majorHAnsi" w:cs="Arial"/>
                <w:spacing w:val="-3"/>
                <w:sz w:val="16"/>
                <w:szCs w:val="16"/>
              </w:rPr>
              <w:t xml:space="preserve"> </w:t>
            </w:r>
            <w:r w:rsidR="008576C9">
              <w:rPr>
                <w:rFonts w:asciiTheme="majorHAnsi" w:hAnsiTheme="majorHAnsi" w:cs="Arial"/>
                <w:spacing w:val="-3"/>
                <w:sz w:val="16"/>
                <w:szCs w:val="16"/>
              </w:rPr>
              <w:t xml:space="preserve">is not taken up </w:t>
            </w:r>
            <w:r w:rsidR="001E36C7">
              <w:rPr>
                <w:rFonts w:asciiTheme="majorHAnsi" w:hAnsiTheme="majorHAnsi" w:cs="Arial"/>
                <w:spacing w:val="-3"/>
                <w:sz w:val="16"/>
                <w:szCs w:val="16"/>
              </w:rPr>
              <w:t>for this purpose.  In addition, it is noted that the rezoning and future development of the site for large lot housing purposes has the potential to generate income for Two Rivers which will assist in pursuing the substantial tourism development that has been approved at the Two Rivers vineyard.  It is submitted that this is consistent with the objective (b) of Direction 1.5</w:t>
            </w:r>
            <w:r w:rsidR="009D050C">
              <w:rPr>
                <w:rFonts w:asciiTheme="majorHAnsi" w:hAnsiTheme="majorHAnsi" w:cs="Arial"/>
                <w:spacing w:val="-3"/>
                <w:sz w:val="16"/>
                <w:szCs w:val="16"/>
              </w:rPr>
              <w:t>,</w:t>
            </w:r>
            <w:r w:rsidR="001E36C7">
              <w:rPr>
                <w:rFonts w:asciiTheme="majorHAnsi" w:hAnsiTheme="majorHAnsi" w:cs="Arial"/>
                <w:spacing w:val="-3"/>
                <w:sz w:val="16"/>
                <w:szCs w:val="16"/>
              </w:rPr>
              <w:t xml:space="preserve"> which seeks to facilitate the orderly and economic development of rural land for rural and related purposes. </w:t>
            </w:r>
            <w:r>
              <w:rPr>
                <w:rFonts w:asciiTheme="majorHAnsi" w:hAnsiTheme="majorHAnsi" w:cs="Arial"/>
                <w:spacing w:val="-3"/>
                <w:sz w:val="16"/>
                <w:szCs w:val="16"/>
              </w:rPr>
              <w:t xml:space="preserve"> </w:t>
            </w:r>
          </w:p>
        </w:tc>
      </w:tr>
      <w:tr w:rsidR="004724B3" w:rsidRPr="00FD3363">
        <w:trPr>
          <w:trHeight w:val="300"/>
        </w:trPr>
        <w:tc>
          <w:tcPr>
            <w:tcW w:w="8472" w:type="dxa"/>
            <w:gridSpan w:val="3"/>
            <w:shd w:val="clear" w:color="auto" w:fill="F2F2F2" w:themeFill="background1" w:themeFillShade="F2"/>
            <w:vAlign w:val="center"/>
          </w:tcPr>
          <w:p w:rsidR="004724B3" w:rsidRPr="00FD3363" w:rsidRDefault="004724B3" w:rsidP="00FD3363">
            <w:pPr>
              <w:spacing w:before="80" w:after="80"/>
              <w:rPr>
                <w:rFonts w:asciiTheme="majorHAnsi" w:hAnsiTheme="majorHAnsi" w:cs="Arial"/>
                <w:b/>
                <w:sz w:val="16"/>
                <w:szCs w:val="16"/>
              </w:rPr>
            </w:pPr>
            <w:r w:rsidRPr="00FD3363">
              <w:rPr>
                <w:rFonts w:asciiTheme="majorHAnsi" w:hAnsiTheme="majorHAnsi" w:cs="Arial"/>
                <w:b/>
                <w:sz w:val="16"/>
                <w:szCs w:val="16"/>
              </w:rPr>
              <w:lastRenderedPageBreak/>
              <w:t xml:space="preserve">2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Environment and Heritage</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2.1 Environment Protection Zones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protect and conserve environmentally sensitive areas.</w:t>
            </w:r>
          </w:p>
        </w:tc>
        <w:tc>
          <w:tcPr>
            <w:tcW w:w="4169" w:type="dxa"/>
          </w:tcPr>
          <w:p w:rsidR="004724B3" w:rsidRPr="00FD3363" w:rsidRDefault="00B17346" w:rsidP="00E35CBD">
            <w:pPr>
              <w:spacing w:before="80" w:after="80"/>
              <w:rPr>
                <w:rFonts w:asciiTheme="majorHAnsi" w:hAnsiTheme="majorHAnsi" w:cs="Arial"/>
                <w:sz w:val="16"/>
                <w:szCs w:val="16"/>
              </w:rPr>
            </w:pPr>
            <w:r w:rsidRPr="00FD3363">
              <w:rPr>
                <w:rFonts w:asciiTheme="majorHAnsi" w:hAnsiTheme="majorHAnsi" w:cs="Arial"/>
                <w:sz w:val="16"/>
                <w:szCs w:val="16"/>
              </w:rPr>
              <w:t>The land is not identified as an environmental protection zone, and it is unlikely the site would be considered environmentally sensitive. The site is largely clear of vegetation and the potential loss of vegetation as a result of future development of the land for large lot residential purpose would be of minor significance and would not be contrary to this direction</w:t>
            </w:r>
            <w:r w:rsidR="006F1ACB" w:rsidRPr="00FD3363">
              <w:rPr>
                <w:rFonts w:asciiTheme="majorHAnsi" w:hAnsiTheme="majorHAnsi" w:cs="Arial"/>
                <w:sz w:val="16"/>
                <w:szCs w:val="16"/>
              </w:rPr>
              <w:t xml:space="preserve">. The </w:t>
            </w:r>
            <w:r w:rsidR="006C7B49">
              <w:rPr>
                <w:rFonts w:asciiTheme="majorHAnsi" w:hAnsiTheme="majorHAnsi" w:cs="Arial"/>
                <w:sz w:val="16"/>
                <w:szCs w:val="16"/>
              </w:rPr>
              <w:t>Planning Proposal</w:t>
            </w:r>
            <w:r w:rsidR="006F1ACB" w:rsidRPr="00FD3363">
              <w:rPr>
                <w:rFonts w:asciiTheme="majorHAnsi" w:hAnsiTheme="majorHAnsi" w:cs="Arial"/>
                <w:sz w:val="16"/>
                <w:szCs w:val="16"/>
              </w:rPr>
              <w:t xml:space="preserve"> is considered to be consistent with the intent of this direction. </w:t>
            </w:r>
            <w:r w:rsidR="006F1ACB" w:rsidRPr="00FD3363">
              <w:rPr>
                <w:rFonts w:asciiTheme="majorHAnsi" w:hAnsiTheme="majorHAnsi"/>
                <w:sz w:val="16"/>
                <w:szCs w:val="16"/>
              </w:rPr>
              <w:t xml:space="preserve">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2.3 Heritage Conservation</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conserve items, areas, objects and places of environmental heritage significance and indigenous heritage significance.</w:t>
            </w:r>
          </w:p>
        </w:tc>
        <w:tc>
          <w:tcPr>
            <w:tcW w:w="4169" w:type="dxa"/>
          </w:tcPr>
          <w:p w:rsidR="00E35CBD" w:rsidRDefault="006F1ACB" w:rsidP="009A04B4">
            <w:pPr>
              <w:spacing w:before="80" w:after="80"/>
              <w:rPr>
                <w:rFonts w:asciiTheme="majorHAnsi" w:hAnsiTheme="majorHAnsi"/>
                <w:sz w:val="16"/>
              </w:rPr>
            </w:pPr>
            <w:r w:rsidRPr="00FD3363">
              <w:rPr>
                <w:rFonts w:asciiTheme="majorHAnsi" w:hAnsiTheme="majorHAnsi" w:cs="Arial"/>
                <w:sz w:val="16"/>
                <w:szCs w:val="16"/>
              </w:rPr>
              <w:t xml:space="preserve">There has been a previous Aboriginal site </w:t>
            </w:r>
            <w:r w:rsidR="00D42DBD" w:rsidRPr="00FD3363">
              <w:rPr>
                <w:rFonts w:asciiTheme="majorHAnsi" w:hAnsiTheme="majorHAnsi" w:cs="Arial"/>
                <w:sz w:val="16"/>
                <w:szCs w:val="16"/>
              </w:rPr>
              <w:t>investigation that identified some isolated sites</w:t>
            </w:r>
            <w:r w:rsidRPr="00FD3363">
              <w:rPr>
                <w:rFonts w:asciiTheme="majorHAnsi" w:hAnsiTheme="majorHAnsi" w:cs="Arial"/>
                <w:sz w:val="16"/>
                <w:szCs w:val="16"/>
              </w:rPr>
              <w:t xml:space="preserve"> and these have been registered with AHIMS. </w:t>
            </w:r>
            <w:r w:rsidR="0073312B">
              <w:rPr>
                <w:rFonts w:asciiTheme="majorHAnsi" w:hAnsiTheme="majorHAnsi" w:cs="Arial"/>
                <w:sz w:val="16"/>
                <w:szCs w:val="16"/>
              </w:rPr>
              <w:t xml:space="preserve">Consultation with OEH in December 2014 recommended, given the time lapsed since the </w:t>
            </w:r>
            <w:r w:rsidR="009A04B4">
              <w:rPr>
                <w:rFonts w:asciiTheme="majorHAnsi" w:hAnsiTheme="majorHAnsi" w:cs="Arial"/>
                <w:sz w:val="16"/>
                <w:szCs w:val="16"/>
              </w:rPr>
              <w:t>previous</w:t>
            </w:r>
            <w:r w:rsidR="0073312B">
              <w:rPr>
                <w:rFonts w:asciiTheme="majorHAnsi" w:hAnsiTheme="majorHAnsi" w:cs="Arial"/>
                <w:sz w:val="16"/>
                <w:szCs w:val="16"/>
              </w:rPr>
              <w:t xml:space="preserve"> </w:t>
            </w:r>
            <w:r w:rsidR="009A04B4">
              <w:rPr>
                <w:rFonts w:asciiTheme="majorHAnsi" w:hAnsiTheme="majorHAnsi" w:cs="Arial"/>
                <w:sz w:val="16"/>
                <w:szCs w:val="16"/>
              </w:rPr>
              <w:t>assessment that</w:t>
            </w:r>
            <w:r w:rsidR="0073312B">
              <w:rPr>
                <w:rFonts w:asciiTheme="majorHAnsi" w:hAnsiTheme="majorHAnsi" w:cs="Arial"/>
                <w:sz w:val="16"/>
                <w:szCs w:val="16"/>
              </w:rPr>
              <w:t xml:space="preserve"> a Due Diligence Assessment be undertaken to establish what is currently on site</w:t>
            </w:r>
            <w:r w:rsidR="009A04B4">
              <w:rPr>
                <w:rFonts w:asciiTheme="majorHAnsi" w:hAnsiTheme="majorHAnsi" w:cs="Arial"/>
                <w:sz w:val="16"/>
                <w:szCs w:val="16"/>
              </w:rPr>
              <w:t xml:space="preserve">.  This assessment </w:t>
            </w:r>
            <w:r w:rsidR="0073312B">
              <w:rPr>
                <w:rFonts w:asciiTheme="majorHAnsi" w:hAnsiTheme="majorHAnsi" w:cs="Arial"/>
                <w:sz w:val="16"/>
                <w:szCs w:val="16"/>
              </w:rPr>
              <w:t>found 44 artefacts</w:t>
            </w:r>
            <w:r w:rsidR="009A04B4" w:rsidRPr="009A04B4">
              <w:rPr>
                <w:rFonts w:asciiTheme="majorHAnsi" w:hAnsiTheme="majorHAnsi"/>
                <w:sz w:val="16"/>
              </w:rPr>
              <w:t xml:space="preserve">, all of which were found in exposed areas.  The proposed rezoning will not have any impact on these items.  </w:t>
            </w:r>
          </w:p>
          <w:p w:rsidR="004724B3" w:rsidRPr="00FD3363" w:rsidRDefault="009A04B4" w:rsidP="00E35CBD">
            <w:pPr>
              <w:spacing w:before="80" w:after="80"/>
              <w:rPr>
                <w:rFonts w:asciiTheme="majorHAnsi" w:hAnsiTheme="majorHAnsi" w:cs="Arial"/>
                <w:sz w:val="16"/>
                <w:szCs w:val="16"/>
              </w:rPr>
            </w:pPr>
            <w:r w:rsidRPr="009A04B4">
              <w:rPr>
                <w:rFonts w:asciiTheme="majorHAnsi" w:hAnsiTheme="majorHAnsi"/>
                <w:sz w:val="16"/>
              </w:rPr>
              <w:t xml:space="preserve">The </w:t>
            </w:r>
            <w:r w:rsidR="00E35CBD">
              <w:rPr>
                <w:rFonts w:asciiTheme="majorHAnsi" w:hAnsiTheme="majorHAnsi"/>
                <w:sz w:val="16"/>
              </w:rPr>
              <w:t xml:space="preserve">Heritage </w:t>
            </w:r>
            <w:r w:rsidRPr="009A04B4">
              <w:rPr>
                <w:rFonts w:asciiTheme="majorHAnsi" w:hAnsiTheme="majorHAnsi"/>
                <w:sz w:val="16"/>
              </w:rPr>
              <w:t xml:space="preserve">Assessment recommends that prior to the commencement of any future approved development of the land further </w:t>
            </w:r>
            <w:r w:rsidR="00E35CBD">
              <w:rPr>
                <w:rFonts w:asciiTheme="majorHAnsi" w:hAnsiTheme="majorHAnsi"/>
                <w:sz w:val="16"/>
              </w:rPr>
              <w:t xml:space="preserve">in-depth </w:t>
            </w:r>
            <w:r w:rsidRPr="009A04B4">
              <w:rPr>
                <w:rFonts w:asciiTheme="majorHAnsi" w:hAnsiTheme="majorHAnsi"/>
                <w:sz w:val="16"/>
              </w:rPr>
              <w:t>archaeological</w:t>
            </w:r>
            <w:r>
              <w:rPr>
                <w:rFonts w:asciiTheme="majorHAnsi" w:hAnsiTheme="majorHAnsi"/>
                <w:sz w:val="16"/>
              </w:rPr>
              <w:t xml:space="preserve"> assessment in</w:t>
            </w:r>
            <w:r w:rsidRPr="009A04B4">
              <w:rPr>
                <w:rFonts w:asciiTheme="majorHAnsi" w:hAnsiTheme="majorHAnsi"/>
                <w:sz w:val="16"/>
              </w:rPr>
              <w:t xml:space="preserve"> accordance with OEH requirements be undertaken</w:t>
            </w:r>
            <w:r>
              <w:rPr>
                <w:rFonts w:asciiTheme="majorHAnsi" w:hAnsiTheme="majorHAnsi" w:cs="Arial"/>
                <w:sz w:val="16"/>
                <w:szCs w:val="16"/>
              </w:rPr>
              <w:t xml:space="preserve">.  This further assessment would include consultation with stakeholders, including the Wanaruah Local Aboriginal Land </w:t>
            </w:r>
            <w:r>
              <w:rPr>
                <w:rFonts w:asciiTheme="majorHAnsi" w:hAnsiTheme="majorHAnsi" w:cs="Arial"/>
                <w:sz w:val="16"/>
                <w:szCs w:val="16"/>
              </w:rPr>
              <w:lastRenderedPageBreak/>
              <w:t xml:space="preserve">Council. </w:t>
            </w:r>
            <w:r w:rsidR="006F1ACB" w:rsidRPr="00FD3363">
              <w:rPr>
                <w:rFonts w:asciiTheme="majorHAnsi" w:hAnsiTheme="majorHAnsi" w:cs="Arial"/>
                <w:sz w:val="16"/>
                <w:szCs w:val="16"/>
              </w:rPr>
              <w:t xml:space="preserve">Every effort would be made to avoid disturbance of any </w:t>
            </w:r>
            <w:r w:rsidR="004F3070" w:rsidRPr="00FD3363">
              <w:rPr>
                <w:rFonts w:asciiTheme="majorHAnsi" w:hAnsiTheme="majorHAnsi" w:cs="Arial"/>
                <w:sz w:val="16"/>
                <w:szCs w:val="16"/>
              </w:rPr>
              <w:t xml:space="preserve">Aboriginal </w:t>
            </w:r>
            <w:r w:rsidR="006F1ACB" w:rsidRPr="00FD3363">
              <w:rPr>
                <w:rFonts w:asciiTheme="majorHAnsi" w:hAnsiTheme="majorHAnsi" w:cs="Arial"/>
                <w:sz w:val="16"/>
                <w:szCs w:val="16"/>
              </w:rPr>
              <w:t>sites, however where unavoidable appropriative management strategies will be developed in consultation with the local Aboriginal community</w:t>
            </w:r>
            <w:r w:rsidR="006F1ACB" w:rsidRPr="00FD3363">
              <w:rPr>
                <w:rFonts w:asciiTheme="majorHAnsi" w:hAnsiTheme="majorHAnsi" w:cs="MBembo"/>
                <w:color w:val="000000"/>
                <w:sz w:val="16"/>
                <w:szCs w:val="16"/>
                <w:lang w:val="en-GB"/>
              </w:rPr>
              <w:t xml:space="preserve">. </w:t>
            </w:r>
            <w:r w:rsidR="006F1ACB" w:rsidRPr="00FD3363">
              <w:rPr>
                <w:rFonts w:asciiTheme="majorHAnsi" w:hAnsiTheme="majorHAnsi" w:cs="Arial"/>
                <w:sz w:val="16"/>
                <w:szCs w:val="16"/>
              </w:rPr>
              <w:t xml:space="preserve">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lastRenderedPageBreak/>
              <w:t>2.4 Recreation Vehicle Areas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draft LEP amendment does not enable land to be developed for the purpose of a recreation vehicle area (within the meaning of the Recreation Vehicles Act 1983).</w:t>
            </w:r>
          </w:p>
        </w:tc>
        <w:tc>
          <w:tcPr>
            <w:tcW w:w="4169" w:type="dxa"/>
          </w:tcPr>
          <w:p w:rsidR="004724B3" w:rsidRPr="00FD3363" w:rsidRDefault="006C7B49" w:rsidP="00FD3363">
            <w:pPr>
              <w:spacing w:before="80" w:after="80"/>
              <w:rPr>
                <w:rFonts w:asciiTheme="majorHAnsi" w:hAnsiTheme="majorHAnsi" w:cs="Arial"/>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w:t>
            </w:r>
          </w:p>
        </w:tc>
      </w:tr>
      <w:tr w:rsidR="004724B3" w:rsidRPr="00FD3363">
        <w:trPr>
          <w:trHeight w:val="226"/>
        </w:trPr>
        <w:tc>
          <w:tcPr>
            <w:tcW w:w="8472" w:type="dxa"/>
            <w:gridSpan w:val="3"/>
            <w:shd w:val="clear" w:color="auto" w:fill="F2F2F2" w:themeFill="background1" w:themeFillShade="F2"/>
            <w:vAlign w:val="center"/>
          </w:tcPr>
          <w:p w:rsidR="004724B3" w:rsidRPr="00FD3363" w:rsidRDefault="004724B3" w:rsidP="00FD3363">
            <w:pPr>
              <w:spacing w:before="80" w:after="80"/>
              <w:rPr>
                <w:rFonts w:asciiTheme="majorHAnsi" w:hAnsiTheme="majorHAnsi" w:cs="Arial"/>
                <w:b/>
                <w:sz w:val="16"/>
                <w:szCs w:val="16"/>
              </w:rPr>
            </w:pPr>
            <w:r w:rsidRPr="00FD3363">
              <w:rPr>
                <w:rFonts w:asciiTheme="majorHAnsi" w:hAnsiTheme="majorHAnsi" w:cs="Arial"/>
                <w:b/>
                <w:sz w:val="16"/>
                <w:szCs w:val="16"/>
              </w:rPr>
              <w:t xml:space="preserve">3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Housing, Infrastructure and Urban Development</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3.1 Residential Zones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Encourage a variety and choice of housing types to provide for existing and future housing needs, make efficient use of existing infrastructure and services and ensure that new housing has appropriate access to infrastructure and services, and minimise the impact of residential development on the environment and resource lands.</w:t>
            </w:r>
          </w:p>
        </w:tc>
        <w:tc>
          <w:tcPr>
            <w:tcW w:w="4169" w:type="dxa"/>
          </w:tcPr>
          <w:p w:rsidR="00B209E7" w:rsidRDefault="006F1ACB" w:rsidP="00FD3363">
            <w:pPr>
              <w:spacing w:before="80" w:after="80"/>
              <w:rPr>
                <w:rFonts w:asciiTheme="majorHAnsi" w:hAnsiTheme="majorHAnsi" w:cs="Arial"/>
                <w:sz w:val="16"/>
                <w:szCs w:val="16"/>
              </w:rPr>
            </w:pPr>
            <w:r w:rsidRPr="00FD3363">
              <w:rPr>
                <w:rFonts w:asciiTheme="majorHAnsi" w:hAnsiTheme="majorHAnsi" w:cs="Arial"/>
                <w:sz w:val="16"/>
                <w:szCs w:val="16"/>
              </w:rPr>
              <w:t>The proposal seeks to rezone the lan</w:t>
            </w:r>
            <w:r w:rsidR="007D246E" w:rsidRPr="00FD3363">
              <w:rPr>
                <w:rFonts w:asciiTheme="majorHAnsi" w:hAnsiTheme="majorHAnsi" w:cs="Arial"/>
                <w:sz w:val="16"/>
                <w:szCs w:val="16"/>
              </w:rPr>
              <w:t>d to R5 Large Lot Residential.</w:t>
            </w:r>
            <w:r w:rsidRPr="00FD3363">
              <w:rPr>
                <w:rFonts w:asciiTheme="majorHAnsi" w:hAnsiTheme="majorHAnsi" w:cs="Arial"/>
                <w:sz w:val="16"/>
                <w:szCs w:val="16"/>
              </w:rPr>
              <w:t xml:space="preserve"> The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is consistent with the recommendations of the local strategy MRRRS adopted by Muswellbrook</w:t>
            </w:r>
            <w:r w:rsidR="004F3070" w:rsidRPr="00FD3363">
              <w:rPr>
                <w:rFonts w:asciiTheme="majorHAnsi" w:hAnsiTheme="majorHAnsi" w:cs="Arial"/>
                <w:sz w:val="16"/>
                <w:szCs w:val="16"/>
              </w:rPr>
              <w:t xml:space="preserve"> Shire </w:t>
            </w:r>
            <w:r w:rsidR="00E35CBD">
              <w:rPr>
                <w:rFonts w:asciiTheme="majorHAnsi" w:hAnsiTheme="majorHAnsi" w:cs="Arial"/>
                <w:sz w:val="16"/>
                <w:szCs w:val="16"/>
              </w:rPr>
              <w:t>Council.</w:t>
            </w:r>
          </w:p>
          <w:p w:rsidR="00D81283" w:rsidRDefault="006F1ACB">
            <w:pPr>
              <w:spacing w:before="80" w:after="80"/>
              <w:rPr>
                <w:rFonts w:asciiTheme="majorHAnsi" w:hAnsiTheme="majorHAnsi" w:cs="Arial"/>
                <w:sz w:val="16"/>
                <w:szCs w:val="16"/>
              </w:rPr>
            </w:pPr>
            <w:r w:rsidRPr="00FD3363">
              <w:rPr>
                <w:rFonts w:asciiTheme="majorHAnsi" w:hAnsiTheme="majorHAnsi" w:cs="Arial"/>
                <w:sz w:val="16"/>
                <w:szCs w:val="16"/>
              </w:rPr>
              <w:t xml:space="preserve">The site is identified as the preferred candidate area for rural residential housing in Denman and is required to increase the diversity of housing options and provide </w:t>
            </w:r>
            <w:r w:rsidR="009D25CA" w:rsidRPr="00FD3363">
              <w:rPr>
                <w:rFonts w:asciiTheme="majorHAnsi" w:hAnsiTheme="majorHAnsi" w:cs="Arial"/>
                <w:sz w:val="16"/>
                <w:szCs w:val="16"/>
              </w:rPr>
              <w:t xml:space="preserve">contestability in the market. </w:t>
            </w:r>
            <w:r w:rsidRPr="00FD3363">
              <w:rPr>
                <w:rFonts w:asciiTheme="majorHAnsi" w:hAnsiTheme="majorHAnsi" w:cs="Arial"/>
                <w:sz w:val="16"/>
                <w:szCs w:val="16"/>
              </w:rPr>
              <w:t xml:space="preserve">There is adequate infrastructure and services </w:t>
            </w:r>
            <w:r w:rsidR="004F3070" w:rsidRPr="00FD3363">
              <w:rPr>
                <w:rFonts w:asciiTheme="majorHAnsi" w:hAnsiTheme="majorHAnsi" w:cs="Arial"/>
                <w:sz w:val="16"/>
                <w:szCs w:val="16"/>
              </w:rPr>
              <w:t>available</w:t>
            </w:r>
            <w:r w:rsidR="009A04B4">
              <w:rPr>
                <w:rFonts w:asciiTheme="majorHAnsi" w:hAnsiTheme="majorHAnsi" w:cs="Arial"/>
                <w:sz w:val="16"/>
                <w:szCs w:val="16"/>
              </w:rPr>
              <w:t xml:space="preserve">, as demonstrated by the Engineering Services Report provided in </w:t>
            </w:r>
            <w:r w:rsidR="009A04B4" w:rsidRPr="008B3B98">
              <w:rPr>
                <w:rFonts w:asciiTheme="majorHAnsi" w:hAnsiTheme="majorHAnsi" w:cs="Arial"/>
                <w:b/>
                <w:sz w:val="16"/>
                <w:szCs w:val="16"/>
              </w:rPr>
              <w:t xml:space="preserve">Appendix </w:t>
            </w:r>
            <w:r w:rsidR="008B3B98" w:rsidRPr="008B3B98">
              <w:rPr>
                <w:rFonts w:asciiTheme="majorHAnsi" w:hAnsiTheme="majorHAnsi" w:cs="Arial"/>
                <w:b/>
                <w:sz w:val="16"/>
                <w:szCs w:val="16"/>
              </w:rPr>
              <w:t>4</w:t>
            </w:r>
            <w:r w:rsidR="009A04B4">
              <w:rPr>
                <w:rFonts w:asciiTheme="majorHAnsi" w:hAnsiTheme="majorHAnsi" w:cs="Arial"/>
                <w:sz w:val="16"/>
                <w:szCs w:val="16"/>
              </w:rPr>
              <w:t xml:space="preserve">. </w:t>
            </w:r>
            <w:r w:rsidRPr="00FD3363">
              <w:rPr>
                <w:rFonts w:asciiTheme="majorHAnsi" w:hAnsiTheme="majorHAnsi" w:cs="Arial"/>
                <w:sz w:val="16"/>
                <w:szCs w:val="16"/>
              </w:rPr>
              <w:t xml:space="preserve">The </w:t>
            </w:r>
            <w:r w:rsidR="006C7B49">
              <w:rPr>
                <w:rFonts w:asciiTheme="majorHAnsi" w:hAnsiTheme="majorHAnsi" w:cs="Arial"/>
                <w:sz w:val="16"/>
                <w:szCs w:val="16"/>
              </w:rPr>
              <w:t>Planning Proposal</w:t>
            </w:r>
            <w:r w:rsidR="004724B3" w:rsidRPr="00FD3363">
              <w:rPr>
                <w:rFonts w:asciiTheme="majorHAnsi" w:hAnsiTheme="majorHAnsi" w:cs="Arial"/>
                <w:sz w:val="16"/>
                <w:szCs w:val="16"/>
              </w:rPr>
              <w:t xml:space="preserve"> </w:t>
            </w:r>
            <w:r w:rsidRPr="00FD3363">
              <w:rPr>
                <w:rFonts w:asciiTheme="majorHAnsi" w:hAnsiTheme="majorHAnsi" w:cs="Arial"/>
                <w:sz w:val="16"/>
                <w:szCs w:val="16"/>
              </w:rPr>
              <w:t>is</w:t>
            </w:r>
            <w:r w:rsidR="004724B3" w:rsidRPr="00FD3363">
              <w:rPr>
                <w:rFonts w:asciiTheme="majorHAnsi" w:hAnsiTheme="majorHAnsi" w:cs="Arial"/>
                <w:sz w:val="16"/>
                <w:szCs w:val="16"/>
              </w:rPr>
              <w:t xml:space="preserve"> considered to be consistent with the intent of this direction. </w:t>
            </w:r>
            <w:r w:rsidR="004724B3" w:rsidRPr="00FD3363">
              <w:rPr>
                <w:rFonts w:asciiTheme="majorHAnsi" w:hAnsiTheme="majorHAnsi"/>
                <w:sz w:val="16"/>
                <w:szCs w:val="16"/>
              </w:rPr>
              <w:t xml:space="preserve"> </w:t>
            </w:r>
          </w:p>
          <w:p w:rsidR="00B209E7" w:rsidRPr="00B209E7" w:rsidRDefault="00186063" w:rsidP="00B209E7">
            <w:pPr>
              <w:pStyle w:val="BodyText"/>
              <w:rPr>
                <w:rFonts w:asciiTheme="majorHAnsi" w:hAnsiTheme="majorHAnsi"/>
                <w:sz w:val="16"/>
              </w:rPr>
            </w:pPr>
            <w:r>
              <w:rPr>
                <w:rFonts w:asciiTheme="majorHAnsi" w:hAnsiTheme="majorHAnsi"/>
                <w:sz w:val="16"/>
              </w:rPr>
              <w:t>Clause 4(b) and (c)</w:t>
            </w:r>
            <w:r w:rsidR="00E35CBD">
              <w:rPr>
                <w:rFonts w:asciiTheme="majorHAnsi" w:hAnsiTheme="majorHAnsi"/>
                <w:sz w:val="16"/>
              </w:rPr>
              <w:t xml:space="preserve"> of this Direction</w:t>
            </w:r>
            <w:r w:rsidR="00B209E7" w:rsidRPr="00B209E7">
              <w:rPr>
                <w:rFonts w:asciiTheme="majorHAnsi" w:hAnsiTheme="majorHAnsi"/>
                <w:sz w:val="16"/>
              </w:rPr>
              <w:t xml:space="preserve"> </w:t>
            </w:r>
            <w:r w:rsidR="008576C9">
              <w:rPr>
                <w:rFonts w:asciiTheme="majorHAnsi" w:hAnsiTheme="majorHAnsi"/>
                <w:sz w:val="16"/>
              </w:rPr>
              <w:t xml:space="preserve">requires that a </w:t>
            </w:r>
            <w:r w:rsidR="006C7B49">
              <w:rPr>
                <w:rFonts w:asciiTheme="majorHAnsi" w:hAnsiTheme="majorHAnsi"/>
                <w:sz w:val="16"/>
              </w:rPr>
              <w:t>Planning Proposal</w:t>
            </w:r>
            <w:r w:rsidR="008576C9">
              <w:rPr>
                <w:rFonts w:asciiTheme="majorHAnsi" w:hAnsiTheme="majorHAnsi"/>
                <w:sz w:val="16"/>
              </w:rPr>
              <w:t xml:space="preserve"> includes provision that </w:t>
            </w:r>
            <w:r w:rsidR="00B209E7" w:rsidRPr="00B209E7">
              <w:rPr>
                <w:rFonts w:asciiTheme="majorHAnsi" w:hAnsiTheme="majorHAnsi"/>
                <w:sz w:val="16"/>
              </w:rPr>
              <w:t xml:space="preserve">encourage the provision of housing that will make more efficient use of the existing infrastructure and services and that will reduce the consumption of land for housing on the urban fringe.   The land proposed for use for large lot residential purposes is located within close proximity of existing roads, water, sewer, and drainage services. The subject site is identified in the MRRRS as the least constrained candidate area for infrastructure servicing, the weighting system for </w:t>
            </w:r>
            <w:proofErr w:type="gramStart"/>
            <w:r w:rsidR="00B209E7" w:rsidRPr="00B209E7">
              <w:rPr>
                <w:rFonts w:asciiTheme="majorHAnsi" w:hAnsiTheme="majorHAnsi"/>
                <w:sz w:val="16"/>
              </w:rPr>
              <w:t>which,</w:t>
            </w:r>
            <w:proofErr w:type="gramEnd"/>
            <w:r w:rsidR="00B209E7" w:rsidRPr="00B209E7">
              <w:rPr>
                <w:rFonts w:asciiTheme="majorHAnsi" w:hAnsiTheme="majorHAnsi"/>
                <w:sz w:val="16"/>
              </w:rPr>
              <w:t xml:space="preserve"> was devised in collaboration with the Council’s water and engineering departments. </w:t>
            </w:r>
          </w:p>
          <w:p w:rsidR="00B209E7" w:rsidRPr="00B209E7" w:rsidRDefault="00B209E7" w:rsidP="00B209E7">
            <w:pPr>
              <w:pStyle w:val="BodyText"/>
              <w:rPr>
                <w:rFonts w:asciiTheme="majorHAnsi" w:hAnsiTheme="majorHAnsi"/>
                <w:sz w:val="16"/>
              </w:rPr>
            </w:pPr>
            <w:r w:rsidRPr="00B209E7">
              <w:rPr>
                <w:rFonts w:asciiTheme="majorHAnsi" w:hAnsiTheme="majorHAnsi"/>
                <w:sz w:val="16"/>
              </w:rPr>
              <w:t>As identified in the 10 March 2014 report to Council on the MRRRS there are approximately 7 rural residential lots in the established area of Denman and the potential for 38 rural residential lots in the West Denman Release Area.  The timing for release of the West Denman rural residential lots has been described by Council as ‘uncertain’ and requires major upgrades to the existing sewerage treatment plant and mains to proceed. (Council</w:t>
            </w:r>
            <w:r w:rsidR="004533EE">
              <w:rPr>
                <w:rFonts w:asciiTheme="majorHAnsi" w:hAnsiTheme="majorHAnsi"/>
                <w:sz w:val="16"/>
              </w:rPr>
              <w:t xml:space="preserve"> Ordinary </w:t>
            </w:r>
            <w:r w:rsidR="00E35CBD" w:rsidRPr="00B209E7">
              <w:rPr>
                <w:rFonts w:asciiTheme="majorHAnsi" w:hAnsiTheme="majorHAnsi"/>
                <w:sz w:val="16"/>
              </w:rPr>
              <w:t>Meeting</w:t>
            </w:r>
            <w:r w:rsidR="004533EE">
              <w:rPr>
                <w:rFonts w:asciiTheme="majorHAnsi" w:hAnsiTheme="majorHAnsi"/>
                <w:sz w:val="16"/>
              </w:rPr>
              <w:t xml:space="preserve"> Agenda</w:t>
            </w:r>
            <w:r w:rsidRPr="00B209E7">
              <w:rPr>
                <w:rFonts w:asciiTheme="majorHAnsi" w:hAnsiTheme="majorHAnsi"/>
                <w:sz w:val="16"/>
              </w:rPr>
              <w:t xml:space="preserve">, 10/3/14, Item 14, Page 176).  </w:t>
            </w:r>
            <w:r>
              <w:rPr>
                <w:rFonts w:asciiTheme="majorHAnsi" w:hAnsiTheme="majorHAnsi"/>
                <w:sz w:val="16"/>
              </w:rPr>
              <w:t>It is understoo</w:t>
            </w:r>
            <w:r w:rsidRPr="00B209E7">
              <w:rPr>
                <w:rFonts w:asciiTheme="majorHAnsi" w:hAnsiTheme="majorHAnsi"/>
                <w:sz w:val="16"/>
              </w:rPr>
              <w:t xml:space="preserve">d from advice from Council that there is existing capacity in the sewerage treatment plant for this development and, due to the subject site’s close </w:t>
            </w:r>
            <w:proofErr w:type="gramStart"/>
            <w:r w:rsidRPr="00B209E7">
              <w:rPr>
                <w:rFonts w:asciiTheme="majorHAnsi" w:hAnsiTheme="majorHAnsi"/>
                <w:sz w:val="16"/>
              </w:rPr>
              <w:t>proximity,</w:t>
            </w:r>
            <w:proofErr w:type="gramEnd"/>
            <w:r w:rsidRPr="00B209E7">
              <w:rPr>
                <w:rFonts w:asciiTheme="majorHAnsi" w:hAnsiTheme="majorHAnsi"/>
                <w:sz w:val="16"/>
              </w:rPr>
              <w:t xml:space="preserve"> this can be achieved without any major upgrade works.  </w:t>
            </w:r>
            <w:r>
              <w:rPr>
                <w:rFonts w:asciiTheme="majorHAnsi" w:hAnsiTheme="majorHAnsi"/>
                <w:sz w:val="16"/>
              </w:rPr>
              <w:t>It is also understoo</w:t>
            </w:r>
            <w:r w:rsidRPr="00B209E7">
              <w:rPr>
                <w:rFonts w:asciiTheme="majorHAnsi" w:hAnsiTheme="majorHAnsi"/>
                <w:sz w:val="16"/>
              </w:rPr>
              <w:t>d that connection to the water supply is possible without the need for an upgrade.   It is evident from the information in the MRRRS and from Council that the development of this site would make effective use of the existing infrastructure and services as the development can be undertaken without the need for major augmentation to the available services, and on this basis</w:t>
            </w:r>
            <w:r>
              <w:rPr>
                <w:rFonts w:asciiTheme="majorHAnsi" w:hAnsiTheme="majorHAnsi"/>
                <w:sz w:val="16"/>
              </w:rPr>
              <w:t xml:space="preserve"> it is submitted that</w:t>
            </w:r>
            <w:r w:rsidRPr="00B209E7">
              <w:rPr>
                <w:rFonts w:asciiTheme="majorHAnsi" w:hAnsiTheme="majorHAnsi"/>
                <w:sz w:val="16"/>
              </w:rPr>
              <w:t xml:space="preserve"> the development is consistent with Direction 3.1 Clause 4(b). </w:t>
            </w:r>
          </w:p>
          <w:p w:rsidR="00D81283" w:rsidRDefault="00B209E7">
            <w:pPr>
              <w:pStyle w:val="BodyText"/>
              <w:rPr>
                <w:sz w:val="16"/>
              </w:rPr>
            </w:pPr>
            <w:r w:rsidRPr="00B209E7">
              <w:rPr>
                <w:rFonts w:asciiTheme="majorHAnsi" w:hAnsiTheme="majorHAnsi"/>
                <w:sz w:val="16"/>
              </w:rPr>
              <w:t xml:space="preserve">The desire under Direction 3.1 Clause 4(c) to avoid the consumption of land for housing on the urban fringe is understood.  However, </w:t>
            </w:r>
            <w:r>
              <w:rPr>
                <w:rFonts w:asciiTheme="majorHAnsi" w:hAnsiTheme="majorHAnsi"/>
                <w:sz w:val="16"/>
              </w:rPr>
              <w:t>it is</w:t>
            </w:r>
            <w:r w:rsidRPr="00B209E7">
              <w:rPr>
                <w:rFonts w:asciiTheme="majorHAnsi" w:hAnsiTheme="majorHAnsi"/>
                <w:sz w:val="16"/>
              </w:rPr>
              <w:t xml:space="preserve"> submit</w:t>
            </w:r>
            <w:r>
              <w:rPr>
                <w:rFonts w:asciiTheme="majorHAnsi" w:hAnsiTheme="majorHAnsi"/>
                <w:sz w:val="16"/>
              </w:rPr>
              <w:t>ted</w:t>
            </w:r>
            <w:r w:rsidRPr="00B209E7">
              <w:rPr>
                <w:rFonts w:asciiTheme="majorHAnsi" w:hAnsiTheme="majorHAnsi"/>
                <w:sz w:val="16"/>
              </w:rPr>
              <w:t xml:space="preserve"> that in the Muswellbrook Shire there is a strong demand for rural residential style allotments and that this site has the unique scenic qualities and proximity to available infrastructure and local services to meet the demand for this legitimate housing choice. The suitability of the site for rural residential purposes has been considered at leng</w:t>
            </w:r>
            <w:r>
              <w:rPr>
                <w:rFonts w:asciiTheme="majorHAnsi" w:hAnsiTheme="majorHAnsi"/>
                <w:sz w:val="16"/>
              </w:rPr>
              <w:t>th in this</w:t>
            </w:r>
            <w:r w:rsidRPr="00B209E7">
              <w:rPr>
                <w:rFonts w:asciiTheme="majorHAnsi" w:hAnsiTheme="majorHAnsi"/>
                <w:sz w:val="16"/>
              </w:rPr>
              <w:t xml:space="preserve"> </w:t>
            </w:r>
            <w:r w:rsidR="006C7B49">
              <w:rPr>
                <w:rFonts w:asciiTheme="majorHAnsi" w:hAnsiTheme="majorHAnsi"/>
                <w:sz w:val="16"/>
              </w:rPr>
              <w:t xml:space="preserve">Planning </w:t>
            </w:r>
            <w:r w:rsidR="006C7B49">
              <w:rPr>
                <w:rFonts w:asciiTheme="majorHAnsi" w:hAnsiTheme="majorHAnsi"/>
                <w:sz w:val="16"/>
              </w:rPr>
              <w:lastRenderedPageBreak/>
              <w:t>Proposal</w:t>
            </w:r>
            <w:r w:rsidRPr="00B209E7">
              <w:rPr>
                <w:rFonts w:asciiTheme="majorHAnsi" w:hAnsiTheme="majorHAnsi"/>
                <w:sz w:val="16"/>
              </w:rPr>
              <w:t xml:space="preserve">, and in particular has been assessed against the Settlement Principles of the Upper Hunter SRLUP and found to be consistent.  It is submitted that the rezoning of the site for large lot housing purposes would not be inconsistent with Direction 3.1 Clause 4(c). </w:t>
            </w:r>
          </w:p>
        </w:tc>
      </w:tr>
      <w:tr w:rsidR="004724B3" w:rsidRPr="00FD3363">
        <w:trPr>
          <w:trHeight w:val="274"/>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lastRenderedPageBreak/>
              <w:t>3.2 Caravan Parks and Manufactured Home Estates</w:t>
            </w:r>
          </w:p>
        </w:tc>
        <w:tc>
          <w:tcPr>
            <w:tcW w:w="2948" w:type="dxa"/>
          </w:tcPr>
          <w:p w:rsidR="004724B3" w:rsidRPr="00FD3363" w:rsidRDefault="004724B3" w:rsidP="00FD3363">
            <w:pPr>
              <w:spacing w:before="80" w:after="80"/>
              <w:rPr>
                <w:rFonts w:asciiTheme="majorHAnsi" w:hAnsiTheme="majorHAnsi"/>
                <w:spacing w:val="-3"/>
                <w:sz w:val="16"/>
                <w:szCs w:val="16"/>
              </w:rPr>
            </w:pPr>
            <w:r w:rsidRPr="00FD3363">
              <w:rPr>
                <w:rFonts w:asciiTheme="majorHAnsi" w:hAnsiTheme="majorHAnsi"/>
                <w:spacing w:val="-3"/>
                <w:sz w:val="16"/>
                <w:szCs w:val="16"/>
              </w:rPr>
              <w:t>The objective of this direction is to provide for a variety of housing types, and provide opportunities for caravan parks and manufactured home estate.</w:t>
            </w:r>
          </w:p>
        </w:tc>
        <w:tc>
          <w:tcPr>
            <w:tcW w:w="4169" w:type="dxa"/>
          </w:tcPr>
          <w:p w:rsidR="004724B3" w:rsidRPr="00FD3363" w:rsidRDefault="006C7B49" w:rsidP="00FD3363">
            <w:pPr>
              <w:spacing w:before="80" w:after="80"/>
              <w:rPr>
                <w:rFonts w:asciiTheme="majorHAnsi" w:hAnsiTheme="majorHAnsi" w:cs="Arial"/>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 and it does not involve any caravan parks or manufactured home estates.</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3.3 Home Occupations</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encourage the carrying out of low impact small businesses in dwelling houses.</w:t>
            </w:r>
          </w:p>
        </w:tc>
        <w:tc>
          <w:tcPr>
            <w:tcW w:w="4169" w:type="dxa"/>
          </w:tcPr>
          <w:p w:rsidR="004724B3" w:rsidRPr="00FD3363" w:rsidRDefault="006F1ACB" w:rsidP="00FD3363">
            <w:pPr>
              <w:spacing w:before="80" w:after="80"/>
              <w:rPr>
                <w:rFonts w:asciiTheme="majorHAnsi" w:hAnsiTheme="majorHAnsi" w:cs="Arial"/>
                <w:sz w:val="16"/>
                <w:szCs w:val="16"/>
              </w:rPr>
            </w:pPr>
            <w:r w:rsidRPr="00FD3363">
              <w:rPr>
                <w:rFonts w:asciiTheme="majorHAnsi" w:hAnsiTheme="majorHAnsi" w:cs="Arial"/>
                <w:sz w:val="16"/>
                <w:szCs w:val="16"/>
              </w:rPr>
              <w:t xml:space="preserve">The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seeks to rezone the land to R5 Large Lot Residential and home occupations are permitted without consent in this zone under Muswellbrook LEP 2009.  The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is consistent with this direction.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3.4 Integrating Land Use and Transport</w:t>
            </w:r>
          </w:p>
        </w:tc>
        <w:tc>
          <w:tcPr>
            <w:tcW w:w="2948"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The objective of this direction is to ensure that urban structures, building forms, land use locations, development designs subdivision and street layouts achieve the sustainable transport objectives.</w:t>
            </w:r>
          </w:p>
        </w:tc>
        <w:tc>
          <w:tcPr>
            <w:tcW w:w="4169" w:type="dxa"/>
          </w:tcPr>
          <w:p w:rsidR="00A23C21" w:rsidRPr="00FD3363" w:rsidRDefault="00A23C21" w:rsidP="00FD3363">
            <w:pPr>
              <w:widowControl w:val="0"/>
              <w:suppressAutoHyphens/>
              <w:autoSpaceDE w:val="0"/>
              <w:autoSpaceDN w:val="0"/>
              <w:adjustRightInd w:val="0"/>
              <w:spacing w:before="80" w:after="80"/>
              <w:textAlignment w:val="center"/>
              <w:rPr>
                <w:rFonts w:asciiTheme="majorHAnsi" w:hAnsiTheme="majorHAnsi" w:cs="Arial"/>
                <w:sz w:val="16"/>
                <w:szCs w:val="16"/>
              </w:rPr>
            </w:pPr>
            <w:r w:rsidRPr="00FD3363">
              <w:rPr>
                <w:rFonts w:asciiTheme="majorHAnsi" w:hAnsiTheme="majorHAnsi" w:cs="Arial"/>
                <w:sz w:val="16"/>
                <w:szCs w:val="16"/>
              </w:rPr>
              <w:t xml:space="preserve">The site is located at the edge of the Denman township and is well placed to be serviced by existing facilities. The site will generate traffic once developed, however, it is anticipated that future occupants will be locating here to be closer to the employment lands of the expanding mining industry and to take advantage of the unique scenic environment associated with the Two Rivers vineyard. It is therefore possible that some reduction in distance travelled could be achieved by the introduction of this new housing choice in this location. It is </w:t>
            </w:r>
            <w:r w:rsidR="004F3070" w:rsidRPr="00FD3363">
              <w:rPr>
                <w:rFonts w:asciiTheme="majorHAnsi" w:hAnsiTheme="majorHAnsi" w:cs="Arial"/>
                <w:sz w:val="16"/>
                <w:szCs w:val="16"/>
              </w:rPr>
              <w:t xml:space="preserve">considered that </w:t>
            </w:r>
            <w:r w:rsidRPr="00FD3363">
              <w:rPr>
                <w:rFonts w:asciiTheme="majorHAnsi" w:hAnsiTheme="majorHAnsi" w:cs="Arial"/>
                <w:sz w:val="16"/>
                <w:szCs w:val="16"/>
              </w:rPr>
              <w:t xml:space="preserve">that the development would be consistent with the aims, objectives and principles of ‘Improving Transport Choice – guidelines for planning and development’. </w:t>
            </w:r>
            <w:r w:rsidR="004142C3">
              <w:rPr>
                <w:rFonts w:asciiTheme="majorHAnsi" w:hAnsiTheme="majorHAnsi" w:cs="Arial"/>
                <w:sz w:val="16"/>
                <w:szCs w:val="16"/>
              </w:rPr>
              <w:t xml:space="preserve">  </w:t>
            </w:r>
            <w:r w:rsidRPr="00FD3363">
              <w:rPr>
                <w:rFonts w:asciiTheme="majorHAnsi" w:hAnsiTheme="majorHAnsi" w:cs="Arial"/>
                <w:sz w:val="16"/>
                <w:szCs w:val="16"/>
              </w:rPr>
              <w:t xml:space="preserve">The policy ‘Improving Transport Choice </w:t>
            </w:r>
            <w:r w:rsidR="007D246E" w:rsidRPr="00FD3363">
              <w:rPr>
                <w:rFonts w:asciiTheme="majorHAnsi" w:hAnsiTheme="majorHAnsi" w:cs="Arial"/>
                <w:sz w:val="16"/>
                <w:szCs w:val="16"/>
              </w:rPr>
              <w:t>—</w:t>
            </w:r>
            <w:r w:rsidRPr="00FD3363">
              <w:rPr>
                <w:rFonts w:asciiTheme="majorHAnsi" w:hAnsiTheme="majorHAnsi" w:cs="Arial"/>
                <w:sz w:val="16"/>
                <w:szCs w:val="16"/>
              </w:rPr>
              <w:t xml:space="preserve"> guidelines for planning and development’ also applies to the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and requires </w:t>
            </w:r>
            <w:r w:rsidR="004F3070" w:rsidRPr="00FD3363">
              <w:rPr>
                <w:rFonts w:asciiTheme="majorHAnsi" w:hAnsiTheme="majorHAnsi" w:cs="Arial"/>
                <w:sz w:val="16"/>
                <w:szCs w:val="16"/>
              </w:rPr>
              <w:t xml:space="preserve">to </w:t>
            </w:r>
            <w:r w:rsidRPr="00FD3363">
              <w:rPr>
                <w:rFonts w:asciiTheme="majorHAnsi" w:hAnsiTheme="majorHAnsi" w:cs="Arial"/>
                <w:sz w:val="16"/>
                <w:szCs w:val="16"/>
              </w:rPr>
              <w:t xml:space="preserve">be addressed in the </w:t>
            </w:r>
            <w:r w:rsidR="004F3070" w:rsidRPr="00FD3363">
              <w:rPr>
                <w:rFonts w:asciiTheme="majorHAnsi" w:hAnsiTheme="majorHAnsi" w:cs="Arial"/>
                <w:sz w:val="16"/>
                <w:szCs w:val="16"/>
              </w:rPr>
              <w:t>planning of new areas.</w:t>
            </w:r>
          </w:p>
          <w:p w:rsidR="004724B3" w:rsidRPr="00FD3363" w:rsidRDefault="00A23C21" w:rsidP="00FD3363">
            <w:pPr>
              <w:widowControl w:val="0"/>
              <w:tabs>
                <w:tab w:val="left" w:pos="1020"/>
                <w:tab w:val="left" w:pos="1160"/>
              </w:tabs>
              <w:suppressAutoHyphens/>
              <w:autoSpaceDE w:val="0"/>
              <w:autoSpaceDN w:val="0"/>
              <w:adjustRightInd w:val="0"/>
              <w:spacing w:before="80" w:after="80"/>
              <w:textAlignment w:val="center"/>
              <w:rPr>
                <w:rFonts w:asciiTheme="majorHAnsi" w:hAnsiTheme="majorHAnsi" w:cs="Arial"/>
                <w:sz w:val="16"/>
                <w:szCs w:val="16"/>
              </w:rPr>
            </w:pPr>
            <w:r w:rsidRPr="00FD3363">
              <w:rPr>
                <w:rFonts w:asciiTheme="majorHAnsi" w:hAnsiTheme="majorHAnsi" w:cs="Arial"/>
                <w:sz w:val="16"/>
                <w:szCs w:val="16"/>
              </w:rPr>
              <w:t xml:space="preserve">The current </w:t>
            </w:r>
            <w:r w:rsidR="006C7B49">
              <w:rPr>
                <w:rFonts w:asciiTheme="majorHAnsi" w:hAnsiTheme="majorHAnsi" w:cs="Arial"/>
                <w:sz w:val="16"/>
                <w:szCs w:val="16"/>
              </w:rPr>
              <w:t>Planning Proposal</w:t>
            </w:r>
            <w:r w:rsidRPr="00FD3363">
              <w:rPr>
                <w:rFonts w:asciiTheme="majorHAnsi" w:hAnsiTheme="majorHAnsi" w:cs="Arial"/>
                <w:sz w:val="16"/>
                <w:szCs w:val="16"/>
              </w:rPr>
              <w:t xml:space="preserve"> is a minor addition to the locality and one that can be accommodated by</w:t>
            </w:r>
            <w:r w:rsidR="001B0FA8" w:rsidRPr="00FD3363">
              <w:rPr>
                <w:rFonts w:asciiTheme="majorHAnsi" w:hAnsiTheme="majorHAnsi" w:cs="Arial"/>
                <w:sz w:val="16"/>
                <w:szCs w:val="16"/>
              </w:rPr>
              <w:t xml:space="preserve"> a minor augmentation to</w:t>
            </w:r>
            <w:r w:rsidRPr="00FD3363">
              <w:rPr>
                <w:rFonts w:asciiTheme="majorHAnsi" w:hAnsiTheme="majorHAnsi" w:cs="Arial"/>
                <w:sz w:val="16"/>
                <w:szCs w:val="16"/>
              </w:rPr>
              <w:t xml:space="preserve"> the existing street network. Future development plans for the site will have regard to the above principles.</w:t>
            </w:r>
            <w:r w:rsidR="001B0FA8" w:rsidRPr="00FD3363">
              <w:rPr>
                <w:rFonts w:asciiTheme="majorHAnsi" w:hAnsiTheme="majorHAnsi" w:cs="Arial"/>
                <w:sz w:val="16"/>
                <w:szCs w:val="16"/>
              </w:rPr>
              <w:t xml:space="preserve"> The </w:t>
            </w:r>
            <w:r w:rsidR="006C7B49">
              <w:rPr>
                <w:rFonts w:asciiTheme="majorHAnsi" w:hAnsiTheme="majorHAnsi" w:cs="Arial"/>
                <w:sz w:val="16"/>
                <w:szCs w:val="16"/>
              </w:rPr>
              <w:t>Planning Proposal</w:t>
            </w:r>
            <w:r w:rsidR="001B0FA8" w:rsidRPr="00FD3363">
              <w:rPr>
                <w:rFonts w:asciiTheme="majorHAnsi" w:hAnsiTheme="majorHAnsi" w:cs="Arial"/>
                <w:sz w:val="16"/>
                <w:szCs w:val="16"/>
              </w:rPr>
              <w:t xml:space="preserve"> is considered to be consistent with the intent of this direction</w:t>
            </w:r>
            <w:r w:rsidR="004F3070" w:rsidRPr="00FD3363">
              <w:rPr>
                <w:rFonts w:asciiTheme="majorHAnsi" w:hAnsiTheme="majorHAnsi" w:cs="Arial"/>
                <w:sz w:val="16"/>
                <w:szCs w:val="16"/>
              </w:rPr>
              <w:t>.</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3.5 Development near Licensed Aerodromes</w:t>
            </w:r>
          </w:p>
        </w:tc>
        <w:tc>
          <w:tcPr>
            <w:tcW w:w="2948" w:type="dxa"/>
          </w:tcPr>
          <w:p w:rsidR="004724B3" w:rsidRPr="00FD3363" w:rsidRDefault="004724B3" w:rsidP="00FD3363">
            <w:pPr>
              <w:spacing w:before="80" w:after="80"/>
              <w:rPr>
                <w:rFonts w:asciiTheme="majorHAnsi" w:hAnsiTheme="majorHAnsi" w:cs="Arial"/>
                <w:spacing w:val="-3"/>
                <w:sz w:val="16"/>
                <w:szCs w:val="16"/>
              </w:rPr>
            </w:pPr>
            <w:r w:rsidRPr="00FD3363">
              <w:rPr>
                <w:rFonts w:asciiTheme="majorHAnsi" w:hAnsiTheme="majorHAnsi" w:cs="Arial"/>
                <w:spacing w:val="-3"/>
                <w:sz w:val="16"/>
                <w:szCs w:val="16"/>
              </w:rPr>
              <w:t>The objectives of this direction to ensure the efficient and safe operation of aerodromes, ensure their operation is not compromised by incompatible future adjoining land uses</w:t>
            </w:r>
          </w:p>
        </w:tc>
        <w:tc>
          <w:tcPr>
            <w:tcW w:w="4169" w:type="dxa"/>
          </w:tcPr>
          <w:p w:rsidR="004724B3" w:rsidRPr="00FD3363" w:rsidRDefault="006C7B49" w:rsidP="00FD3363">
            <w:pPr>
              <w:spacing w:before="80" w:after="80"/>
              <w:rPr>
                <w:rFonts w:asciiTheme="majorHAnsi" w:hAnsiTheme="majorHAnsi" w:cs="Arial"/>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3.6 Shooting Ranges</w:t>
            </w:r>
          </w:p>
        </w:tc>
        <w:tc>
          <w:tcPr>
            <w:tcW w:w="2948" w:type="dxa"/>
          </w:tcPr>
          <w:p w:rsidR="001F02FD" w:rsidRPr="00FD3363" w:rsidRDefault="004724B3" w:rsidP="00FD3363">
            <w:pPr>
              <w:spacing w:before="80" w:after="80"/>
              <w:rPr>
                <w:rFonts w:asciiTheme="majorHAnsi" w:hAnsiTheme="majorHAnsi" w:cs="Arial"/>
                <w:bCs/>
                <w:spacing w:val="-3"/>
                <w:sz w:val="16"/>
                <w:szCs w:val="16"/>
              </w:rPr>
            </w:pPr>
            <w:r w:rsidRPr="00FD3363">
              <w:rPr>
                <w:rFonts w:asciiTheme="majorHAnsi" w:hAnsiTheme="majorHAnsi" w:cs="Arial"/>
                <w:bCs/>
                <w:spacing w:val="-3"/>
                <w:sz w:val="16"/>
                <w:szCs w:val="16"/>
              </w:rPr>
              <w:t>The objective of this direction is to maintain appropriate levels of public safety and amenity, reduce land use conflict and identify issued that must be addressed when rezoning land adjacent to an existing shooting range.</w:t>
            </w:r>
          </w:p>
        </w:tc>
        <w:tc>
          <w:tcPr>
            <w:tcW w:w="4169" w:type="dxa"/>
          </w:tcPr>
          <w:p w:rsidR="004724B3" w:rsidRPr="00FD3363" w:rsidRDefault="006C7B49" w:rsidP="00FD3363">
            <w:pPr>
              <w:spacing w:before="80" w:after="80"/>
              <w:rPr>
                <w:rFonts w:asciiTheme="majorHAnsi" w:hAnsiTheme="majorHAnsi" w:cs="Arial"/>
                <w:bCs/>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w:t>
            </w:r>
          </w:p>
        </w:tc>
      </w:tr>
      <w:tr w:rsidR="004724B3" w:rsidRPr="00FD3363">
        <w:trPr>
          <w:trHeight w:val="245"/>
        </w:trPr>
        <w:tc>
          <w:tcPr>
            <w:tcW w:w="8472" w:type="dxa"/>
            <w:gridSpan w:val="3"/>
            <w:shd w:val="clear" w:color="auto" w:fill="F2F2F2" w:themeFill="background1" w:themeFillShade="F2"/>
            <w:vAlign w:val="center"/>
          </w:tcPr>
          <w:p w:rsidR="004724B3" w:rsidRPr="00FD3363" w:rsidRDefault="004724B3" w:rsidP="00FD3363">
            <w:pPr>
              <w:spacing w:before="80" w:after="80"/>
              <w:rPr>
                <w:rFonts w:asciiTheme="majorHAnsi" w:hAnsiTheme="majorHAnsi" w:cs="Arial"/>
                <w:b/>
                <w:bCs/>
                <w:sz w:val="16"/>
                <w:szCs w:val="16"/>
              </w:rPr>
            </w:pPr>
            <w:r w:rsidRPr="00FD3363">
              <w:rPr>
                <w:rFonts w:asciiTheme="majorHAnsi" w:hAnsiTheme="majorHAnsi" w:cs="Arial"/>
                <w:b/>
                <w:sz w:val="16"/>
                <w:szCs w:val="16"/>
              </w:rPr>
              <w:t xml:space="preserve">4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Hazard and Risk</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4.1 Acid Sulphate Soils</w:t>
            </w:r>
          </w:p>
        </w:tc>
        <w:tc>
          <w:tcPr>
            <w:tcW w:w="2948" w:type="dxa"/>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 of this direction is to avoid significant adverse environmental impacts from the use of land that has a probability of containing acid sulphate soils.</w:t>
            </w:r>
          </w:p>
        </w:tc>
        <w:tc>
          <w:tcPr>
            <w:tcW w:w="4169" w:type="dxa"/>
          </w:tcPr>
          <w:p w:rsidR="004724B3" w:rsidRPr="00FD3363" w:rsidRDefault="006C7B49" w:rsidP="00E35CBD">
            <w:pPr>
              <w:spacing w:before="80" w:after="80"/>
              <w:rPr>
                <w:rFonts w:asciiTheme="majorHAnsi" w:hAnsiTheme="majorHAnsi" w:cs="Arial"/>
                <w:sz w:val="16"/>
                <w:szCs w:val="16"/>
              </w:rPr>
            </w:pPr>
            <w:r>
              <w:rPr>
                <w:rFonts w:asciiTheme="majorHAnsi" w:hAnsiTheme="majorHAnsi" w:cs="Arial"/>
                <w:sz w:val="16"/>
                <w:szCs w:val="16"/>
              </w:rPr>
              <w:t>Planning Proposal</w:t>
            </w:r>
            <w:r w:rsidR="004724B3" w:rsidRPr="00FD3363">
              <w:rPr>
                <w:rFonts w:asciiTheme="majorHAnsi" w:hAnsiTheme="majorHAnsi" w:cs="Arial"/>
                <w:sz w:val="16"/>
                <w:szCs w:val="16"/>
              </w:rPr>
              <w:t xml:space="preserve"> not affected by this direction.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4.2 Mine Subsidence and Unstable Land</w:t>
            </w:r>
          </w:p>
        </w:tc>
        <w:tc>
          <w:tcPr>
            <w:tcW w:w="2948" w:type="dxa"/>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 of this direction is to prevent damage to life, property and the environment on land identified as unstable or potentially subject to mine subsidence.</w:t>
            </w:r>
          </w:p>
        </w:tc>
        <w:tc>
          <w:tcPr>
            <w:tcW w:w="4169" w:type="dxa"/>
          </w:tcPr>
          <w:p w:rsidR="00877A9D" w:rsidRDefault="00877A9D" w:rsidP="00877A9D">
            <w:pPr>
              <w:spacing w:before="80" w:after="80"/>
              <w:rPr>
                <w:rFonts w:asciiTheme="majorHAnsi" w:hAnsiTheme="majorHAnsi" w:cs="Arial"/>
                <w:sz w:val="16"/>
                <w:szCs w:val="16"/>
              </w:rPr>
            </w:pPr>
            <w:r w:rsidRPr="00877A9D">
              <w:rPr>
                <w:rFonts w:asciiTheme="majorHAnsi" w:hAnsiTheme="majorHAnsi" w:cs="Arial"/>
                <w:sz w:val="16"/>
                <w:szCs w:val="16"/>
              </w:rPr>
              <w:t xml:space="preserve">The Mine Subsidence Board </w:t>
            </w:r>
            <w:proofErr w:type="gramStart"/>
            <w:r w:rsidRPr="00877A9D">
              <w:rPr>
                <w:rFonts w:asciiTheme="majorHAnsi" w:hAnsiTheme="majorHAnsi" w:cs="Arial"/>
                <w:sz w:val="16"/>
                <w:szCs w:val="16"/>
              </w:rPr>
              <w:t>were</w:t>
            </w:r>
            <w:proofErr w:type="gramEnd"/>
            <w:r w:rsidRPr="00877A9D">
              <w:rPr>
                <w:rFonts w:asciiTheme="majorHAnsi" w:hAnsiTheme="majorHAnsi" w:cs="Arial"/>
                <w:sz w:val="16"/>
                <w:szCs w:val="16"/>
              </w:rPr>
              <w:t xml:space="preserve"> consulted and they have no objection to the proposed rezoning, a copy of their submission is included in </w:t>
            </w:r>
            <w:r w:rsidRPr="00877A9D">
              <w:rPr>
                <w:rFonts w:asciiTheme="majorHAnsi" w:hAnsiTheme="majorHAnsi" w:cs="Arial"/>
                <w:b/>
                <w:sz w:val="16"/>
                <w:szCs w:val="16"/>
              </w:rPr>
              <w:t>Appendix 3</w:t>
            </w:r>
            <w:r w:rsidRPr="00877A9D">
              <w:rPr>
                <w:rFonts w:asciiTheme="majorHAnsi" w:hAnsiTheme="majorHAnsi" w:cs="Arial"/>
                <w:sz w:val="16"/>
                <w:szCs w:val="16"/>
              </w:rPr>
              <w:t>.</w:t>
            </w:r>
          </w:p>
          <w:p w:rsidR="004724B3" w:rsidRPr="00877A9D" w:rsidRDefault="00877A9D" w:rsidP="009A04B4">
            <w:pPr>
              <w:spacing w:before="80" w:after="80"/>
              <w:rPr>
                <w:rFonts w:asciiTheme="majorHAnsi" w:hAnsiTheme="majorHAnsi" w:cs="Arial"/>
                <w:sz w:val="16"/>
                <w:szCs w:val="16"/>
              </w:rPr>
            </w:pPr>
            <w:r w:rsidRPr="00877A9D">
              <w:rPr>
                <w:rFonts w:asciiTheme="majorHAnsi" w:hAnsiTheme="majorHAnsi" w:cs="Arial"/>
                <w:sz w:val="16"/>
                <w:szCs w:val="16"/>
              </w:rPr>
              <w:t>The site is located within mine subsidence district and future approval would be required for subdivision by Mine Subsidence Board. Given the proximity of the site to the existing Denman Village</w:t>
            </w:r>
            <w:r>
              <w:rPr>
                <w:rFonts w:asciiTheme="majorHAnsi" w:hAnsiTheme="majorHAnsi" w:cs="Arial"/>
                <w:sz w:val="16"/>
                <w:szCs w:val="16"/>
              </w:rPr>
              <w:t>,</w:t>
            </w:r>
            <w:r w:rsidRPr="00877A9D">
              <w:rPr>
                <w:rFonts w:asciiTheme="majorHAnsi" w:hAnsiTheme="majorHAnsi" w:cs="Arial"/>
                <w:sz w:val="16"/>
                <w:szCs w:val="16"/>
              </w:rPr>
              <w:t xml:space="preserve"> it is considered highly unlikely that the land would be</w:t>
            </w:r>
            <w:r>
              <w:rPr>
                <w:rFonts w:asciiTheme="majorHAnsi" w:hAnsiTheme="majorHAnsi" w:cs="Arial"/>
                <w:sz w:val="16"/>
                <w:szCs w:val="16"/>
              </w:rPr>
              <w:t xml:space="preserve"> suitable for mining purposes.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lastRenderedPageBreak/>
              <w:t>4.3 Flood Prone Land</w:t>
            </w:r>
          </w:p>
        </w:tc>
        <w:tc>
          <w:tcPr>
            <w:tcW w:w="2948" w:type="dxa"/>
          </w:tcPr>
          <w:p w:rsidR="004724B3" w:rsidRPr="00FD3363" w:rsidRDefault="004724B3" w:rsidP="00FD3363">
            <w:pPr>
              <w:spacing w:before="80" w:after="80"/>
              <w:rPr>
                <w:rFonts w:asciiTheme="majorHAnsi" w:hAnsiTheme="majorHAnsi" w:cs="Arial"/>
                <w:bCs/>
                <w:spacing w:val="-3"/>
                <w:sz w:val="16"/>
                <w:szCs w:val="16"/>
              </w:rPr>
            </w:pPr>
            <w:r w:rsidRPr="00FD3363">
              <w:rPr>
                <w:rFonts w:asciiTheme="majorHAnsi" w:hAnsiTheme="majorHAnsi" w:cs="Arial"/>
                <w:bCs/>
                <w:spacing w:val="-3"/>
                <w:sz w:val="16"/>
                <w:szCs w:val="16"/>
              </w:rPr>
              <w:t>The objectives of this direction are to ensure that development of flood prone land is consistent with the NSW Government’s Flood Prone Land Policy and the principles of the Floodplain Development Manual 2005, and that the provisions of an LEP on flood prone land are commensurate with flood hazard and include consideration of the potential flood impacts both on and off the subject land.</w:t>
            </w:r>
          </w:p>
        </w:tc>
        <w:tc>
          <w:tcPr>
            <w:tcW w:w="4169" w:type="dxa"/>
          </w:tcPr>
          <w:p w:rsidR="004724B3" w:rsidRPr="00FD3363" w:rsidRDefault="00893EEB" w:rsidP="00FD3363">
            <w:pPr>
              <w:spacing w:before="80" w:after="80"/>
              <w:rPr>
                <w:rFonts w:asciiTheme="majorHAnsi" w:hAnsiTheme="majorHAnsi" w:cs="Arial"/>
                <w:bCs/>
                <w:sz w:val="16"/>
                <w:szCs w:val="16"/>
              </w:rPr>
            </w:pPr>
            <w:r w:rsidRPr="00FD3363">
              <w:rPr>
                <w:rFonts w:asciiTheme="majorHAnsi" w:hAnsiTheme="majorHAnsi" w:cs="Arial"/>
                <w:bCs/>
                <w:sz w:val="16"/>
                <w:szCs w:val="16"/>
              </w:rPr>
              <w:t xml:space="preserve">The site does not constitute flood prone land and the direction does not apply. </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4.4 Planning for Bushfire Protection</w:t>
            </w:r>
          </w:p>
        </w:tc>
        <w:tc>
          <w:tcPr>
            <w:tcW w:w="2948" w:type="dxa"/>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objectives of this direction are to protect life, property and the environment from bush fire hazards, by discouraging the   establishment of incompatible land uses in bush fire prone areas, to encourage sound management of bush fire prone areas.</w:t>
            </w:r>
          </w:p>
        </w:tc>
        <w:tc>
          <w:tcPr>
            <w:tcW w:w="4169" w:type="dxa"/>
          </w:tcPr>
          <w:p w:rsidR="00893EEB" w:rsidRPr="00FD3363" w:rsidRDefault="00893EEB" w:rsidP="00FD3363">
            <w:pPr>
              <w:spacing w:before="80" w:after="80"/>
              <w:rPr>
                <w:rFonts w:asciiTheme="majorHAnsi" w:hAnsiTheme="majorHAnsi" w:cs="Arial"/>
                <w:bCs/>
                <w:sz w:val="16"/>
                <w:szCs w:val="16"/>
              </w:rPr>
            </w:pPr>
            <w:r w:rsidRPr="00FD3363">
              <w:rPr>
                <w:rFonts w:asciiTheme="majorHAnsi" w:hAnsiTheme="majorHAnsi" w:cs="Arial"/>
                <w:bCs/>
                <w:sz w:val="16"/>
                <w:szCs w:val="16"/>
              </w:rPr>
              <w:t xml:space="preserve">The site is not bushfire prone and the direction does not apply. </w:t>
            </w:r>
          </w:p>
          <w:p w:rsidR="004724B3" w:rsidRPr="00FD3363" w:rsidRDefault="004724B3" w:rsidP="00FD3363">
            <w:pPr>
              <w:spacing w:before="80" w:after="80"/>
              <w:rPr>
                <w:rFonts w:asciiTheme="majorHAnsi" w:hAnsiTheme="majorHAnsi" w:cs="Arial"/>
                <w:bCs/>
                <w:sz w:val="16"/>
                <w:szCs w:val="16"/>
              </w:rPr>
            </w:pPr>
          </w:p>
        </w:tc>
      </w:tr>
      <w:tr w:rsidR="004724B3" w:rsidRPr="00FD3363">
        <w:trPr>
          <w:trHeight w:val="320"/>
        </w:trPr>
        <w:tc>
          <w:tcPr>
            <w:tcW w:w="8472" w:type="dxa"/>
            <w:gridSpan w:val="3"/>
            <w:shd w:val="clear" w:color="auto" w:fill="F2F2F2" w:themeFill="background1" w:themeFillShade="F2"/>
            <w:vAlign w:val="center"/>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
                <w:sz w:val="16"/>
                <w:szCs w:val="16"/>
              </w:rPr>
              <w:t xml:space="preserve">5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Regional Planning</w:t>
            </w:r>
          </w:p>
        </w:tc>
      </w:tr>
      <w:tr w:rsidR="004724B3" w:rsidRPr="00FD3363">
        <w:trPr>
          <w:trHeight w:val="397"/>
        </w:trPr>
        <w:tc>
          <w:tcPr>
            <w:tcW w:w="1355" w:type="dxa"/>
          </w:tcPr>
          <w:p w:rsidR="004724B3" w:rsidRPr="00FD3363" w:rsidRDefault="004724B3" w:rsidP="00D34EC0">
            <w:pPr>
              <w:spacing w:before="80" w:after="80"/>
              <w:contextualSpacing/>
              <w:rPr>
                <w:rFonts w:asciiTheme="majorHAnsi" w:hAnsiTheme="majorHAnsi" w:cs="Arial"/>
                <w:sz w:val="16"/>
                <w:szCs w:val="16"/>
              </w:rPr>
            </w:pPr>
            <w:r w:rsidRPr="00FD3363">
              <w:rPr>
                <w:rFonts w:asciiTheme="majorHAnsi" w:hAnsiTheme="majorHAnsi" w:cs="Arial"/>
                <w:sz w:val="16"/>
                <w:szCs w:val="16"/>
              </w:rPr>
              <w:t>5.1 Implementation</w:t>
            </w:r>
          </w:p>
          <w:p w:rsidR="004724B3" w:rsidRPr="00FD3363" w:rsidRDefault="004724B3" w:rsidP="00D34EC0">
            <w:pPr>
              <w:spacing w:before="80" w:after="80"/>
              <w:contextualSpacing/>
              <w:rPr>
                <w:rFonts w:asciiTheme="majorHAnsi" w:hAnsiTheme="majorHAnsi" w:cs="Arial"/>
                <w:sz w:val="16"/>
                <w:szCs w:val="16"/>
              </w:rPr>
            </w:pPr>
            <w:r w:rsidRPr="00FD3363">
              <w:rPr>
                <w:rFonts w:asciiTheme="majorHAnsi" w:hAnsiTheme="majorHAnsi" w:cs="Arial"/>
                <w:sz w:val="16"/>
                <w:szCs w:val="16"/>
              </w:rPr>
              <w:t>of Regional</w:t>
            </w:r>
          </w:p>
          <w:p w:rsidR="004724B3" w:rsidRPr="00FD3363" w:rsidRDefault="004724B3" w:rsidP="00D34EC0">
            <w:pPr>
              <w:spacing w:before="80" w:after="80"/>
              <w:contextualSpacing/>
              <w:rPr>
                <w:rFonts w:asciiTheme="majorHAnsi" w:hAnsiTheme="majorHAnsi" w:cs="Arial"/>
                <w:sz w:val="16"/>
                <w:szCs w:val="16"/>
              </w:rPr>
            </w:pPr>
            <w:r w:rsidRPr="00FD3363">
              <w:rPr>
                <w:rFonts w:asciiTheme="majorHAnsi" w:hAnsiTheme="majorHAnsi" w:cs="Arial"/>
                <w:sz w:val="16"/>
                <w:szCs w:val="16"/>
              </w:rPr>
              <w:t>Strategies</w:t>
            </w:r>
          </w:p>
        </w:tc>
        <w:tc>
          <w:tcPr>
            <w:tcW w:w="2948" w:type="dxa"/>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 of this direction is to give legal effect to the vision, land use strategy, policies, outcomes and actions contained in regional strategies.</w:t>
            </w:r>
          </w:p>
        </w:tc>
        <w:tc>
          <w:tcPr>
            <w:tcW w:w="4169" w:type="dxa"/>
          </w:tcPr>
          <w:p w:rsidR="00D70CD5" w:rsidRPr="00FD3363" w:rsidRDefault="006C7B49" w:rsidP="00FD3363">
            <w:pPr>
              <w:spacing w:before="80" w:after="80"/>
              <w:rPr>
                <w:rFonts w:asciiTheme="majorHAnsi" w:hAnsiTheme="majorHAnsi" w:cs="Arial"/>
                <w:bCs/>
                <w:sz w:val="16"/>
                <w:szCs w:val="16"/>
              </w:rPr>
            </w:pPr>
            <w:r>
              <w:rPr>
                <w:rFonts w:asciiTheme="majorHAnsi" w:hAnsiTheme="majorHAnsi" w:cs="Arial"/>
                <w:bCs/>
                <w:sz w:val="16"/>
                <w:szCs w:val="16"/>
              </w:rPr>
              <w:t>Planning Proposal</w:t>
            </w:r>
            <w:r w:rsidR="004724B3" w:rsidRPr="00FD3363">
              <w:rPr>
                <w:rFonts w:asciiTheme="majorHAnsi" w:hAnsiTheme="majorHAnsi" w:cs="Arial"/>
                <w:bCs/>
                <w:sz w:val="16"/>
                <w:szCs w:val="16"/>
              </w:rPr>
              <w:t xml:space="preserve"> not affected by this direction.</w:t>
            </w:r>
          </w:p>
          <w:p w:rsidR="004724B3" w:rsidRPr="00FD3363" w:rsidRDefault="006C7B49" w:rsidP="00E35CBD">
            <w:pPr>
              <w:spacing w:before="80" w:after="80"/>
              <w:rPr>
                <w:rFonts w:asciiTheme="majorHAnsi" w:hAnsiTheme="majorHAnsi" w:cs="Arial"/>
                <w:sz w:val="16"/>
                <w:szCs w:val="16"/>
              </w:rPr>
            </w:pPr>
            <w:r>
              <w:rPr>
                <w:rFonts w:asciiTheme="majorHAnsi" w:hAnsiTheme="majorHAnsi" w:cs="Arial"/>
                <w:sz w:val="16"/>
                <w:szCs w:val="16"/>
              </w:rPr>
              <w:t>Planning Proposal</w:t>
            </w:r>
            <w:r w:rsidR="00963AC1" w:rsidRPr="00FD3363">
              <w:rPr>
                <w:rFonts w:asciiTheme="majorHAnsi" w:hAnsiTheme="majorHAnsi" w:cs="Arial"/>
                <w:sz w:val="16"/>
                <w:szCs w:val="16"/>
              </w:rPr>
              <w:t>s are required to be consistent with a Regional Strategy released by the Minister for Planni</w:t>
            </w:r>
            <w:r w:rsidR="00E35CBD">
              <w:rPr>
                <w:rFonts w:asciiTheme="majorHAnsi" w:hAnsiTheme="majorHAnsi" w:cs="Arial"/>
                <w:sz w:val="16"/>
                <w:szCs w:val="16"/>
              </w:rPr>
              <w:t>ng.</w:t>
            </w:r>
            <w:r w:rsidR="00963AC1" w:rsidRPr="00FD3363">
              <w:rPr>
                <w:rFonts w:asciiTheme="majorHAnsi" w:hAnsiTheme="majorHAnsi" w:cs="Arial"/>
                <w:sz w:val="16"/>
                <w:szCs w:val="16"/>
              </w:rPr>
              <w:t xml:space="preserve"> The </w:t>
            </w:r>
            <w:r>
              <w:rPr>
                <w:rFonts w:asciiTheme="majorHAnsi" w:hAnsiTheme="majorHAnsi" w:cs="Arial"/>
                <w:sz w:val="16"/>
                <w:szCs w:val="16"/>
              </w:rPr>
              <w:t>Planning Proposal</w:t>
            </w:r>
            <w:r w:rsidR="004F3070" w:rsidRPr="00FD3363">
              <w:rPr>
                <w:rFonts w:asciiTheme="majorHAnsi" w:hAnsiTheme="majorHAnsi" w:cs="Arial"/>
                <w:sz w:val="16"/>
                <w:szCs w:val="16"/>
              </w:rPr>
              <w:t xml:space="preserve"> </w:t>
            </w:r>
            <w:r w:rsidR="00963AC1" w:rsidRPr="00FD3363">
              <w:rPr>
                <w:rFonts w:asciiTheme="majorHAnsi" w:hAnsiTheme="majorHAnsi" w:cs="Arial"/>
                <w:sz w:val="16"/>
                <w:szCs w:val="16"/>
              </w:rPr>
              <w:t xml:space="preserve">is considered to be consistent with the objectives and actions contained in the UHSRLUP 2012 </w:t>
            </w:r>
            <w:r w:rsidR="004F3070" w:rsidRPr="00FD3363">
              <w:rPr>
                <w:rFonts w:asciiTheme="majorHAnsi" w:hAnsiTheme="majorHAnsi" w:cs="Arial"/>
                <w:sz w:val="16"/>
                <w:szCs w:val="16"/>
              </w:rPr>
              <w:t xml:space="preserve">and its settlement planning principles </w:t>
            </w:r>
            <w:r w:rsidR="00963AC1" w:rsidRPr="00FD3363">
              <w:rPr>
                <w:rFonts w:asciiTheme="majorHAnsi" w:hAnsiTheme="majorHAnsi" w:cs="Arial"/>
                <w:sz w:val="16"/>
                <w:szCs w:val="16"/>
              </w:rPr>
              <w:t>as discussed in Section 3</w:t>
            </w:r>
            <w:r w:rsidR="004F3070" w:rsidRPr="00FD3363">
              <w:rPr>
                <w:rFonts w:asciiTheme="majorHAnsi" w:hAnsiTheme="majorHAnsi" w:cs="Arial"/>
                <w:sz w:val="16"/>
                <w:szCs w:val="16"/>
              </w:rPr>
              <w:t>.</w:t>
            </w:r>
          </w:p>
        </w:tc>
      </w:tr>
      <w:tr w:rsidR="004724B3" w:rsidRPr="00FD3363">
        <w:trPr>
          <w:trHeight w:val="284"/>
        </w:trPr>
        <w:tc>
          <w:tcPr>
            <w:tcW w:w="8472" w:type="dxa"/>
            <w:gridSpan w:val="3"/>
            <w:shd w:val="clear" w:color="auto" w:fill="F2F2F2" w:themeFill="background1" w:themeFillShade="F2"/>
            <w:vAlign w:val="center"/>
          </w:tcPr>
          <w:p w:rsidR="004724B3" w:rsidRPr="00FD3363" w:rsidRDefault="004724B3" w:rsidP="00FD3363">
            <w:pPr>
              <w:spacing w:before="80" w:after="80"/>
              <w:rPr>
                <w:rFonts w:asciiTheme="majorHAnsi" w:hAnsiTheme="majorHAnsi" w:cs="Arial"/>
                <w:b/>
                <w:bCs/>
                <w:sz w:val="16"/>
                <w:szCs w:val="16"/>
              </w:rPr>
            </w:pPr>
            <w:r w:rsidRPr="00FD3363">
              <w:rPr>
                <w:rFonts w:asciiTheme="majorHAnsi" w:hAnsiTheme="majorHAnsi" w:cs="Arial"/>
                <w:b/>
                <w:sz w:val="16"/>
                <w:szCs w:val="16"/>
              </w:rPr>
              <w:t xml:space="preserve">6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Local Plan Making</w:t>
            </w:r>
          </w:p>
        </w:tc>
      </w:tr>
      <w:tr w:rsidR="004724B3" w:rsidRPr="00FD3363">
        <w:trPr>
          <w:trHeight w:val="397"/>
        </w:trPr>
        <w:tc>
          <w:tcPr>
            <w:tcW w:w="1355" w:type="dxa"/>
          </w:tcPr>
          <w:p w:rsidR="004724B3" w:rsidRPr="00FD3363" w:rsidRDefault="004724B3" w:rsidP="00FD3363">
            <w:pPr>
              <w:spacing w:before="80" w:after="80"/>
              <w:rPr>
                <w:rFonts w:asciiTheme="majorHAnsi" w:hAnsiTheme="majorHAnsi" w:cs="Arial"/>
                <w:sz w:val="16"/>
                <w:szCs w:val="16"/>
              </w:rPr>
            </w:pPr>
            <w:r w:rsidRPr="00FD3363">
              <w:rPr>
                <w:rFonts w:asciiTheme="majorHAnsi" w:hAnsiTheme="majorHAnsi" w:cs="Arial"/>
                <w:sz w:val="16"/>
                <w:szCs w:val="16"/>
              </w:rPr>
              <w:t>6.1 Approval and Referral Requirements</w:t>
            </w:r>
          </w:p>
        </w:tc>
        <w:tc>
          <w:tcPr>
            <w:tcW w:w="2948" w:type="dxa"/>
          </w:tcPr>
          <w:p w:rsidR="004724B3" w:rsidRPr="00FD3363" w:rsidRDefault="004724B3"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 of this direction is to ensure that LEP provisions encourage the efficient and appropriate assessment of development.</w:t>
            </w:r>
          </w:p>
        </w:tc>
        <w:tc>
          <w:tcPr>
            <w:tcW w:w="4169" w:type="dxa"/>
          </w:tcPr>
          <w:p w:rsidR="004724B3" w:rsidRPr="00FD3363" w:rsidRDefault="006C7B49" w:rsidP="00FD3363">
            <w:pPr>
              <w:spacing w:before="80" w:after="80"/>
              <w:rPr>
                <w:rFonts w:asciiTheme="majorHAnsi" w:hAnsiTheme="majorHAnsi" w:cs="Arial"/>
                <w:bCs/>
                <w:sz w:val="16"/>
                <w:szCs w:val="16"/>
              </w:rPr>
            </w:pPr>
            <w:r>
              <w:rPr>
                <w:rFonts w:asciiTheme="majorHAnsi" w:hAnsiTheme="majorHAnsi" w:cs="Arial"/>
                <w:bCs/>
                <w:sz w:val="16"/>
                <w:szCs w:val="16"/>
              </w:rPr>
              <w:t>Planning Proposal</w:t>
            </w:r>
            <w:r w:rsidR="004724B3" w:rsidRPr="00FD3363">
              <w:rPr>
                <w:rFonts w:asciiTheme="majorHAnsi" w:hAnsiTheme="majorHAnsi" w:cs="Arial"/>
                <w:bCs/>
                <w:sz w:val="16"/>
                <w:szCs w:val="16"/>
              </w:rPr>
              <w:t xml:space="preserve"> not affected by this direction.</w:t>
            </w:r>
          </w:p>
        </w:tc>
      </w:tr>
      <w:tr w:rsidR="00893EEB" w:rsidRPr="00FD3363">
        <w:trPr>
          <w:trHeight w:val="397"/>
        </w:trPr>
        <w:tc>
          <w:tcPr>
            <w:tcW w:w="1355" w:type="dxa"/>
          </w:tcPr>
          <w:p w:rsidR="00893EEB" w:rsidRPr="00FD3363" w:rsidRDefault="00893EEB" w:rsidP="00FD3363">
            <w:pPr>
              <w:spacing w:before="80" w:after="80"/>
              <w:rPr>
                <w:rFonts w:asciiTheme="majorHAnsi" w:hAnsiTheme="majorHAnsi" w:cs="Arial"/>
                <w:sz w:val="16"/>
                <w:szCs w:val="16"/>
              </w:rPr>
            </w:pPr>
            <w:r w:rsidRPr="00FD3363">
              <w:rPr>
                <w:rFonts w:asciiTheme="majorHAnsi" w:hAnsiTheme="majorHAnsi" w:cs="Arial"/>
                <w:sz w:val="16"/>
                <w:szCs w:val="16"/>
              </w:rPr>
              <w:t>6.2 Reserving Land for Public Purposes</w:t>
            </w:r>
          </w:p>
        </w:tc>
        <w:tc>
          <w:tcPr>
            <w:tcW w:w="2948" w:type="dxa"/>
          </w:tcPr>
          <w:p w:rsidR="00893EEB" w:rsidRPr="00FD3363" w:rsidRDefault="00893EEB" w:rsidP="00FD3363">
            <w:pPr>
              <w:spacing w:before="80" w:after="80"/>
              <w:rPr>
                <w:rFonts w:asciiTheme="majorHAnsi" w:hAnsiTheme="majorHAnsi" w:cs="Arial"/>
                <w:bCs/>
                <w:sz w:val="16"/>
                <w:szCs w:val="16"/>
              </w:rPr>
            </w:pPr>
            <w:r w:rsidRPr="00FD3363">
              <w:rPr>
                <w:rFonts w:asciiTheme="majorHAnsi" w:hAnsiTheme="majorHAnsi" w:cs="Arial"/>
                <w:bCs/>
                <w:sz w:val="16"/>
                <w:szCs w:val="16"/>
              </w:rPr>
              <w:t>The objectives of this direction are to facilitate the provision of public services and facilities by reserving land for public purposes, and facilitate the removal of reservations of land for public purposes where the land is no longer required for acquisition.</w:t>
            </w:r>
          </w:p>
        </w:tc>
        <w:tc>
          <w:tcPr>
            <w:tcW w:w="4169" w:type="dxa"/>
          </w:tcPr>
          <w:p w:rsidR="00893EEB" w:rsidRPr="00FD3363" w:rsidRDefault="006C7B49" w:rsidP="00FD3363">
            <w:pPr>
              <w:spacing w:before="80" w:after="80"/>
              <w:rPr>
                <w:rFonts w:asciiTheme="majorHAnsi" w:hAnsiTheme="majorHAnsi" w:cs="Arial"/>
                <w:bCs/>
                <w:sz w:val="16"/>
                <w:szCs w:val="16"/>
              </w:rPr>
            </w:pPr>
            <w:r>
              <w:rPr>
                <w:rFonts w:asciiTheme="majorHAnsi" w:hAnsiTheme="majorHAnsi" w:cs="Arial"/>
                <w:bCs/>
                <w:sz w:val="16"/>
                <w:szCs w:val="16"/>
              </w:rPr>
              <w:t>Planning Proposal</w:t>
            </w:r>
            <w:r w:rsidR="00893EEB" w:rsidRPr="00FD3363">
              <w:rPr>
                <w:rFonts w:asciiTheme="majorHAnsi" w:hAnsiTheme="majorHAnsi" w:cs="Arial"/>
                <w:bCs/>
                <w:sz w:val="16"/>
                <w:szCs w:val="16"/>
              </w:rPr>
              <w:t xml:space="preserve"> not affected by this direction.</w:t>
            </w:r>
          </w:p>
        </w:tc>
      </w:tr>
      <w:tr w:rsidR="00893EEB" w:rsidRPr="00FD3363">
        <w:trPr>
          <w:trHeight w:val="397"/>
        </w:trPr>
        <w:tc>
          <w:tcPr>
            <w:tcW w:w="1355" w:type="dxa"/>
          </w:tcPr>
          <w:p w:rsidR="00893EEB" w:rsidRPr="00FD3363" w:rsidRDefault="00893EEB" w:rsidP="00FD3363">
            <w:pPr>
              <w:spacing w:before="80" w:after="80"/>
              <w:rPr>
                <w:rFonts w:asciiTheme="majorHAnsi" w:hAnsiTheme="majorHAnsi" w:cs="Arial"/>
                <w:sz w:val="16"/>
                <w:szCs w:val="16"/>
              </w:rPr>
            </w:pPr>
            <w:r w:rsidRPr="00FD3363">
              <w:rPr>
                <w:rFonts w:asciiTheme="majorHAnsi" w:hAnsiTheme="majorHAnsi" w:cs="Arial"/>
                <w:sz w:val="16"/>
                <w:szCs w:val="16"/>
              </w:rPr>
              <w:t>6.3 Site Specific Provisions</w:t>
            </w:r>
          </w:p>
        </w:tc>
        <w:tc>
          <w:tcPr>
            <w:tcW w:w="2948" w:type="dxa"/>
          </w:tcPr>
          <w:p w:rsidR="00893EEB" w:rsidRPr="00FD3363" w:rsidRDefault="00893EEB" w:rsidP="00FD3363">
            <w:pPr>
              <w:spacing w:before="80" w:after="80"/>
              <w:rPr>
                <w:rFonts w:asciiTheme="majorHAnsi" w:hAnsiTheme="majorHAnsi" w:cs="Arial"/>
                <w:bCs/>
                <w:sz w:val="16"/>
                <w:szCs w:val="16"/>
              </w:rPr>
            </w:pPr>
            <w:r w:rsidRPr="00FD3363">
              <w:rPr>
                <w:rFonts w:asciiTheme="majorHAnsi" w:hAnsiTheme="majorHAnsi" w:cs="Arial"/>
                <w:bCs/>
                <w:sz w:val="16"/>
                <w:szCs w:val="16"/>
              </w:rPr>
              <w:t xml:space="preserve">The objective of this direction is to discourage unnecessarily restrictive site specific planning controls. </w:t>
            </w:r>
          </w:p>
        </w:tc>
        <w:tc>
          <w:tcPr>
            <w:tcW w:w="4169" w:type="dxa"/>
          </w:tcPr>
          <w:p w:rsidR="00893EEB" w:rsidRPr="00FD3363" w:rsidRDefault="006C7B49" w:rsidP="00FD3363">
            <w:pPr>
              <w:spacing w:before="80" w:after="80"/>
              <w:rPr>
                <w:rFonts w:asciiTheme="majorHAnsi" w:hAnsiTheme="majorHAnsi" w:cs="Arial"/>
                <w:bCs/>
                <w:sz w:val="16"/>
                <w:szCs w:val="16"/>
              </w:rPr>
            </w:pPr>
            <w:r>
              <w:rPr>
                <w:rFonts w:asciiTheme="majorHAnsi" w:hAnsiTheme="majorHAnsi" w:cs="Arial"/>
                <w:bCs/>
                <w:sz w:val="16"/>
                <w:szCs w:val="16"/>
              </w:rPr>
              <w:t>Planning Proposal</w:t>
            </w:r>
            <w:r w:rsidR="00893EEB" w:rsidRPr="00FD3363">
              <w:rPr>
                <w:rFonts w:asciiTheme="majorHAnsi" w:hAnsiTheme="majorHAnsi" w:cs="Arial"/>
                <w:bCs/>
                <w:sz w:val="16"/>
                <w:szCs w:val="16"/>
              </w:rPr>
              <w:t xml:space="preserve"> not affected by this direction.</w:t>
            </w:r>
          </w:p>
        </w:tc>
      </w:tr>
      <w:tr w:rsidR="00893EEB" w:rsidRPr="00FD3363">
        <w:trPr>
          <w:trHeight w:val="271"/>
        </w:trPr>
        <w:tc>
          <w:tcPr>
            <w:tcW w:w="8472" w:type="dxa"/>
            <w:gridSpan w:val="3"/>
            <w:shd w:val="clear" w:color="auto" w:fill="F2F2F2" w:themeFill="background1" w:themeFillShade="F2"/>
            <w:vAlign w:val="center"/>
          </w:tcPr>
          <w:p w:rsidR="00893EEB" w:rsidRPr="00FD3363" w:rsidRDefault="00893EEB" w:rsidP="00FD3363">
            <w:pPr>
              <w:spacing w:before="80" w:after="80"/>
              <w:rPr>
                <w:rFonts w:asciiTheme="majorHAnsi" w:hAnsiTheme="majorHAnsi" w:cs="Arial"/>
                <w:b/>
                <w:bCs/>
                <w:sz w:val="16"/>
                <w:szCs w:val="16"/>
              </w:rPr>
            </w:pPr>
            <w:r w:rsidRPr="00FD3363">
              <w:rPr>
                <w:rFonts w:asciiTheme="majorHAnsi" w:hAnsiTheme="majorHAnsi" w:cs="Arial"/>
                <w:b/>
                <w:sz w:val="16"/>
                <w:szCs w:val="16"/>
              </w:rPr>
              <w:t xml:space="preserve">7 </w:t>
            </w:r>
            <w:r w:rsidR="007D246E" w:rsidRPr="00FD3363">
              <w:rPr>
                <w:rFonts w:asciiTheme="majorHAnsi" w:hAnsiTheme="majorHAnsi" w:cs="Arial"/>
                <w:b/>
                <w:sz w:val="16"/>
                <w:szCs w:val="16"/>
              </w:rPr>
              <w:t>—</w:t>
            </w:r>
            <w:r w:rsidRPr="00FD3363">
              <w:rPr>
                <w:rFonts w:asciiTheme="majorHAnsi" w:hAnsiTheme="majorHAnsi" w:cs="Arial"/>
                <w:b/>
                <w:sz w:val="16"/>
                <w:szCs w:val="16"/>
              </w:rPr>
              <w:t xml:space="preserve"> Metropolitan Planning</w:t>
            </w:r>
          </w:p>
        </w:tc>
      </w:tr>
      <w:tr w:rsidR="00893EEB" w:rsidRPr="00FD3363">
        <w:trPr>
          <w:trHeight w:val="397"/>
        </w:trPr>
        <w:tc>
          <w:tcPr>
            <w:tcW w:w="8472" w:type="dxa"/>
            <w:gridSpan w:val="3"/>
            <w:vAlign w:val="center"/>
          </w:tcPr>
          <w:p w:rsidR="00893EEB" w:rsidRPr="00FD3363" w:rsidRDefault="00893EEB" w:rsidP="00FD3363">
            <w:pPr>
              <w:spacing w:before="80" w:after="80"/>
              <w:rPr>
                <w:rFonts w:asciiTheme="majorHAnsi" w:hAnsiTheme="majorHAnsi" w:cs="Arial"/>
                <w:b/>
                <w:bCs/>
                <w:sz w:val="16"/>
                <w:szCs w:val="16"/>
              </w:rPr>
            </w:pPr>
            <w:r w:rsidRPr="00FD3363">
              <w:rPr>
                <w:rFonts w:asciiTheme="majorHAnsi" w:hAnsiTheme="majorHAnsi" w:cs="Arial"/>
                <w:bCs/>
                <w:i/>
                <w:sz w:val="16"/>
                <w:szCs w:val="16"/>
              </w:rPr>
              <w:t xml:space="preserve">No directions in this section apply to this </w:t>
            </w:r>
            <w:r w:rsidR="006C7B49">
              <w:rPr>
                <w:rFonts w:asciiTheme="majorHAnsi" w:hAnsiTheme="majorHAnsi" w:cs="Arial"/>
                <w:bCs/>
                <w:i/>
                <w:sz w:val="16"/>
                <w:szCs w:val="16"/>
              </w:rPr>
              <w:t>Planning Proposal</w:t>
            </w:r>
            <w:r w:rsidRPr="00FD3363">
              <w:rPr>
                <w:rFonts w:asciiTheme="majorHAnsi" w:hAnsiTheme="majorHAnsi" w:cs="Arial"/>
                <w:bCs/>
                <w:i/>
                <w:sz w:val="16"/>
                <w:szCs w:val="16"/>
              </w:rPr>
              <w:t>.</w:t>
            </w:r>
          </w:p>
        </w:tc>
      </w:tr>
    </w:tbl>
    <w:p w:rsidR="002105BB" w:rsidRPr="009300DA" w:rsidRDefault="002105BB" w:rsidP="009300DA">
      <w:pPr>
        <w:spacing w:before="240" w:after="240" w:line="280" w:lineRule="exact"/>
        <w:contextualSpacing/>
        <w:jc w:val="both"/>
        <w:rPr>
          <w:rFonts w:ascii="Trebuchet MS" w:eastAsia="Times New Roman" w:hAnsi="Trebuchet MS" w:cs="Times New Roman"/>
          <w:color w:val="000000"/>
          <w:sz w:val="19"/>
          <w:lang w:eastAsia="en-AU"/>
        </w:rPr>
      </w:pPr>
    </w:p>
    <w:p w:rsidR="007D246E" w:rsidRPr="00FD3363" w:rsidRDefault="004724B3" w:rsidP="009300DA">
      <w:pPr>
        <w:spacing w:before="240" w:after="240" w:line="280" w:lineRule="exact"/>
        <w:contextualSpacing/>
        <w:jc w:val="both"/>
        <w:rPr>
          <w:rFonts w:asciiTheme="majorHAnsi" w:eastAsia="Times New Roman" w:hAnsiTheme="majorHAnsi" w:cs="Times New Roman"/>
          <w:color w:val="000000"/>
          <w:sz w:val="22"/>
          <w:lang w:eastAsia="en-AU"/>
        </w:rPr>
      </w:pPr>
      <w:r w:rsidRPr="00FD3363">
        <w:rPr>
          <w:rFonts w:asciiTheme="majorHAnsi" w:eastAsia="Times New Roman" w:hAnsiTheme="majorHAnsi" w:cs="Times New Roman"/>
          <w:color w:val="000000"/>
          <w:sz w:val="22"/>
          <w:lang w:eastAsia="en-AU"/>
        </w:rPr>
        <w:t>The above table outlines whether the proposed items are consistent with the S.117 Directions, and a number of inconsistencies were identified. However, it is considered that the inconsistencies are of minor significance and it has been demonstrated that the objectives of each relevant direction can be satisfied.</w:t>
      </w:r>
    </w:p>
    <w:p w:rsidR="007D246E" w:rsidRDefault="007D246E" w:rsidP="009300DA">
      <w:pPr>
        <w:spacing w:before="240" w:after="240" w:line="280" w:lineRule="exact"/>
        <w:contextualSpacing/>
        <w:jc w:val="both"/>
        <w:rPr>
          <w:rFonts w:ascii="Trebuchet MS" w:eastAsia="Times New Roman" w:hAnsi="Trebuchet MS" w:cs="Times New Roman"/>
          <w:color w:val="000000"/>
          <w:sz w:val="19"/>
          <w:lang w:eastAsia="en-AU"/>
        </w:rPr>
      </w:pPr>
    </w:p>
    <w:p w:rsidR="005941A9" w:rsidRDefault="009757DA" w:rsidP="005941A9">
      <w:pPr>
        <w:keepLines/>
        <w:spacing w:after="0"/>
        <w:jc w:val="both"/>
        <w:rPr>
          <w:rFonts w:ascii="Trebuchet MS" w:eastAsia="Times New Roman" w:hAnsi="Trebuchet MS" w:cs="Arial"/>
          <w:b/>
          <w:sz w:val="22"/>
          <w:szCs w:val="22"/>
          <w:lang w:eastAsia="en-AU"/>
        </w:rPr>
      </w:pPr>
      <w:r w:rsidRPr="005941A9">
        <w:rPr>
          <w:rFonts w:ascii="Trebuchet MS" w:eastAsia="Times New Roman" w:hAnsi="Trebuchet MS" w:cs="Arial"/>
          <w:b/>
          <w:sz w:val="22"/>
          <w:szCs w:val="22"/>
          <w:lang w:eastAsia="en-AU"/>
        </w:rPr>
        <w:t>3.3.3</w:t>
      </w:r>
      <w:r w:rsidRPr="005941A9">
        <w:rPr>
          <w:rFonts w:ascii="Trebuchet MS" w:eastAsia="Times New Roman" w:hAnsi="Trebuchet MS" w:cs="Arial"/>
          <w:b/>
          <w:sz w:val="22"/>
          <w:szCs w:val="22"/>
          <w:lang w:eastAsia="en-AU"/>
        </w:rPr>
        <w:tab/>
        <w:t>Section</w:t>
      </w:r>
      <w:bookmarkStart w:id="9" w:name="Sec_C"/>
      <w:bookmarkEnd w:id="9"/>
      <w:r w:rsidRPr="005941A9">
        <w:rPr>
          <w:rFonts w:ascii="Trebuchet MS" w:eastAsia="Times New Roman" w:hAnsi="Trebuchet MS" w:cs="Arial"/>
          <w:b/>
          <w:sz w:val="22"/>
          <w:szCs w:val="22"/>
          <w:lang w:eastAsia="en-AU"/>
        </w:rPr>
        <w:t xml:space="preserve"> C </w:t>
      </w:r>
      <w:r w:rsidR="005941A9">
        <w:rPr>
          <w:rFonts w:ascii="Trebuchet MS" w:eastAsia="Times New Roman" w:hAnsi="Trebuchet MS" w:cs="Arial"/>
          <w:b/>
          <w:sz w:val="22"/>
          <w:szCs w:val="22"/>
          <w:lang w:eastAsia="en-AU"/>
        </w:rPr>
        <w:t>—</w:t>
      </w:r>
      <w:r w:rsidRPr="005941A9">
        <w:rPr>
          <w:rFonts w:ascii="Trebuchet MS" w:eastAsia="Times New Roman" w:hAnsi="Trebuchet MS" w:cs="Arial"/>
          <w:b/>
          <w:sz w:val="22"/>
          <w:szCs w:val="22"/>
          <w:lang w:eastAsia="en-AU"/>
        </w:rPr>
        <w:t xml:space="preserve"> Environmental, social and economic impact</w:t>
      </w:r>
    </w:p>
    <w:p w:rsidR="009757DA" w:rsidRPr="00FD3363" w:rsidRDefault="009757DA" w:rsidP="00FD3363">
      <w:pPr>
        <w:spacing w:before="120" w:after="240"/>
        <w:jc w:val="both"/>
        <w:rPr>
          <w:rFonts w:asciiTheme="majorHAnsi" w:eastAsia="Times New Roman" w:hAnsiTheme="majorHAnsi" w:cs="Times New Roman"/>
          <w:b/>
          <w:i/>
          <w:color w:val="000000"/>
          <w:sz w:val="23"/>
          <w:szCs w:val="23"/>
          <w:lang w:eastAsia="en-AU"/>
        </w:rPr>
      </w:pPr>
      <w:r w:rsidRPr="00FD3363">
        <w:rPr>
          <w:rFonts w:asciiTheme="majorHAnsi" w:eastAsia="Times New Roman" w:hAnsiTheme="majorHAnsi" w:cs="Times New Roman"/>
          <w:b/>
          <w:i/>
          <w:color w:val="000000"/>
          <w:sz w:val="23"/>
          <w:szCs w:val="23"/>
          <w:lang w:eastAsia="en-AU"/>
        </w:rPr>
        <w:t xml:space="preserve">Is there any likelihood that critical habitat or threatened species, populations or ecological communities, or their habitats, will be adversely affected as a result of the proposal? </w:t>
      </w:r>
    </w:p>
    <w:p w:rsidR="00BF5B02" w:rsidRPr="00FD3363" w:rsidRDefault="00FD3363" w:rsidP="00FD3363">
      <w:pPr>
        <w:spacing w:before="240" w:after="240"/>
        <w:contextualSpacing/>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lastRenderedPageBreak/>
        <w:t>T</w:t>
      </w:r>
      <w:r w:rsidR="00F8312F" w:rsidRPr="00FD3363">
        <w:rPr>
          <w:rFonts w:asciiTheme="majorHAnsi" w:eastAsia="Times New Roman" w:hAnsiTheme="majorHAnsi" w:cs="Times New Roman"/>
          <w:color w:val="000000"/>
          <w:sz w:val="22"/>
          <w:szCs w:val="22"/>
          <w:lang w:eastAsia="en-AU"/>
        </w:rPr>
        <w:t xml:space="preserve">he site is clear of vegetation and is not known to contain any </w:t>
      </w:r>
      <w:r w:rsidR="00BF5B02" w:rsidRPr="00FD3363">
        <w:rPr>
          <w:rFonts w:asciiTheme="majorHAnsi" w:eastAsia="Times New Roman" w:hAnsiTheme="majorHAnsi" w:cs="Times New Roman"/>
          <w:color w:val="000000"/>
          <w:sz w:val="22"/>
          <w:szCs w:val="22"/>
          <w:lang w:eastAsia="en-AU"/>
        </w:rPr>
        <w:t>critical habitat</w:t>
      </w:r>
      <w:r w:rsidR="00F8312F" w:rsidRPr="00FD3363">
        <w:rPr>
          <w:rFonts w:asciiTheme="majorHAnsi" w:eastAsia="Times New Roman" w:hAnsiTheme="majorHAnsi" w:cs="Times New Roman"/>
          <w:color w:val="000000"/>
          <w:sz w:val="22"/>
          <w:szCs w:val="22"/>
          <w:lang w:eastAsia="en-AU"/>
        </w:rPr>
        <w:t xml:space="preserve"> or </w:t>
      </w:r>
      <w:r w:rsidR="00BF5B02" w:rsidRPr="00FD3363">
        <w:rPr>
          <w:rFonts w:asciiTheme="majorHAnsi" w:eastAsia="Times New Roman" w:hAnsiTheme="majorHAnsi" w:cs="Times New Roman"/>
          <w:color w:val="000000"/>
          <w:sz w:val="22"/>
          <w:szCs w:val="22"/>
          <w:lang w:eastAsia="en-AU"/>
        </w:rPr>
        <w:t>threatened species</w:t>
      </w:r>
      <w:r w:rsidR="00F8312F" w:rsidRPr="00FD3363">
        <w:rPr>
          <w:rFonts w:asciiTheme="majorHAnsi" w:eastAsia="Times New Roman" w:hAnsiTheme="majorHAnsi" w:cs="Times New Roman"/>
          <w:color w:val="000000"/>
          <w:sz w:val="22"/>
          <w:szCs w:val="22"/>
          <w:lang w:eastAsia="en-AU"/>
        </w:rPr>
        <w:t xml:space="preserve">, </w:t>
      </w:r>
      <w:r w:rsidR="00F8312F" w:rsidRPr="005302F3">
        <w:rPr>
          <w:rFonts w:asciiTheme="majorHAnsi" w:eastAsia="Times New Roman" w:hAnsiTheme="majorHAnsi" w:cs="Times New Roman"/>
          <w:color w:val="000000"/>
          <w:sz w:val="22"/>
          <w:szCs w:val="22"/>
          <w:lang w:eastAsia="en-AU"/>
        </w:rPr>
        <w:t>populations</w:t>
      </w:r>
      <w:r w:rsidR="00F8312F" w:rsidRPr="00FD3363">
        <w:rPr>
          <w:rFonts w:asciiTheme="majorHAnsi" w:eastAsia="Times New Roman" w:hAnsiTheme="majorHAnsi" w:cs="Times New Roman"/>
          <w:color w:val="000000"/>
          <w:sz w:val="22"/>
          <w:szCs w:val="22"/>
          <w:lang w:eastAsia="en-AU"/>
        </w:rPr>
        <w:t xml:space="preserve"> or ecological communities, or their habitats.</w:t>
      </w:r>
      <w:r w:rsidR="00BF5B02" w:rsidRPr="00FD3363">
        <w:rPr>
          <w:rFonts w:asciiTheme="majorHAnsi" w:eastAsia="Times New Roman" w:hAnsiTheme="majorHAnsi" w:cs="Times New Roman"/>
          <w:color w:val="000000"/>
          <w:sz w:val="22"/>
          <w:szCs w:val="22"/>
          <w:lang w:eastAsia="en-AU"/>
        </w:rPr>
        <w:t xml:space="preserve"> The proposal is unlikely to have any adverse effect on threatened species populations or their habitat. </w:t>
      </w:r>
    </w:p>
    <w:p w:rsidR="009A04B4" w:rsidRDefault="009A04B4" w:rsidP="00FD3363">
      <w:pPr>
        <w:spacing w:before="240" w:after="240"/>
        <w:contextualSpacing/>
        <w:jc w:val="both"/>
        <w:rPr>
          <w:rFonts w:asciiTheme="majorHAnsi" w:eastAsia="Times New Roman" w:hAnsiTheme="majorHAnsi" w:cs="Times New Roman"/>
          <w:b/>
          <w:i/>
          <w:color w:val="000000"/>
          <w:sz w:val="23"/>
          <w:szCs w:val="23"/>
          <w:lang w:eastAsia="en-AU"/>
        </w:rPr>
      </w:pPr>
    </w:p>
    <w:p w:rsidR="009757DA" w:rsidRPr="00FD3363" w:rsidRDefault="009757DA" w:rsidP="00FD3363">
      <w:pPr>
        <w:spacing w:before="240" w:after="240"/>
        <w:contextualSpacing/>
        <w:jc w:val="both"/>
        <w:rPr>
          <w:rFonts w:asciiTheme="majorHAnsi" w:eastAsia="Times New Roman" w:hAnsiTheme="majorHAnsi" w:cs="Times New Roman"/>
          <w:b/>
          <w:i/>
          <w:color w:val="000000"/>
          <w:sz w:val="23"/>
          <w:szCs w:val="23"/>
          <w:lang w:eastAsia="en-AU"/>
        </w:rPr>
      </w:pPr>
      <w:r w:rsidRPr="00FD3363">
        <w:rPr>
          <w:rFonts w:asciiTheme="majorHAnsi" w:eastAsia="Times New Roman" w:hAnsiTheme="majorHAnsi" w:cs="Times New Roman"/>
          <w:b/>
          <w:i/>
          <w:color w:val="000000"/>
          <w:sz w:val="23"/>
          <w:szCs w:val="23"/>
          <w:lang w:eastAsia="en-AU"/>
        </w:rPr>
        <w:t xml:space="preserve">Are there any other likely environmental effects as a result of the </w:t>
      </w:r>
      <w:r w:rsidR="006C7B49">
        <w:rPr>
          <w:rFonts w:asciiTheme="majorHAnsi" w:eastAsia="Times New Roman" w:hAnsiTheme="majorHAnsi" w:cs="Times New Roman"/>
          <w:b/>
          <w:i/>
          <w:color w:val="000000"/>
          <w:sz w:val="23"/>
          <w:szCs w:val="23"/>
          <w:lang w:eastAsia="en-AU"/>
        </w:rPr>
        <w:t>Planning Proposal</w:t>
      </w:r>
      <w:r w:rsidRPr="00FD3363">
        <w:rPr>
          <w:rFonts w:asciiTheme="majorHAnsi" w:eastAsia="Times New Roman" w:hAnsiTheme="majorHAnsi" w:cs="Times New Roman"/>
          <w:b/>
          <w:i/>
          <w:color w:val="000000"/>
          <w:sz w:val="23"/>
          <w:szCs w:val="23"/>
          <w:lang w:eastAsia="en-AU"/>
        </w:rPr>
        <w:t xml:space="preserve"> and how are they proposed to be managed?</w:t>
      </w:r>
    </w:p>
    <w:p w:rsidR="009757DA" w:rsidRPr="00FD3363" w:rsidRDefault="009757DA" w:rsidP="009D25CA">
      <w:pPr>
        <w:spacing w:before="240" w:after="240" w:line="280" w:lineRule="exact"/>
        <w:contextualSpacing/>
        <w:jc w:val="both"/>
        <w:rPr>
          <w:rFonts w:asciiTheme="majorHAnsi" w:eastAsia="Times New Roman" w:hAnsiTheme="majorHAnsi" w:cs="Times New Roman"/>
          <w:color w:val="000000"/>
          <w:sz w:val="22"/>
          <w:szCs w:val="22"/>
          <w:lang w:eastAsia="en-AU"/>
        </w:rPr>
      </w:pPr>
    </w:p>
    <w:p w:rsidR="009757DA" w:rsidRPr="009420FB" w:rsidRDefault="009420FB" w:rsidP="009420FB">
      <w:pPr>
        <w:spacing w:before="120" w:after="120"/>
        <w:jc w:val="both"/>
        <w:rPr>
          <w:rFonts w:asciiTheme="majorHAnsi" w:eastAsia="Times New Roman" w:hAnsiTheme="majorHAnsi" w:cs="Times New Roman"/>
          <w:b/>
          <w:caps/>
          <w:color w:val="000000"/>
          <w:sz w:val="23"/>
          <w:szCs w:val="23"/>
          <w:lang w:eastAsia="en-AU"/>
        </w:rPr>
      </w:pPr>
      <w:r w:rsidRPr="009420FB">
        <w:rPr>
          <w:rFonts w:asciiTheme="majorHAnsi" w:eastAsia="Times New Roman" w:hAnsiTheme="majorHAnsi" w:cs="Times New Roman"/>
          <w:b/>
          <w:color w:val="000000"/>
          <w:sz w:val="23"/>
          <w:szCs w:val="23"/>
          <w:lang w:eastAsia="en-AU"/>
        </w:rPr>
        <w:t>Aboriginal Cultural Heritage:</w:t>
      </w:r>
    </w:p>
    <w:p w:rsidR="00303B9E" w:rsidRPr="00475AD1" w:rsidRDefault="009757DA" w:rsidP="009420FB">
      <w:pPr>
        <w:spacing w:before="120" w:after="120"/>
        <w:jc w:val="both"/>
        <w:rPr>
          <w:rFonts w:asciiTheme="majorHAnsi" w:eastAsia="Times New Roman" w:hAnsiTheme="majorHAnsi" w:cs="Times New Roman"/>
          <w:color w:val="000000"/>
          <w:sz w:val="22"/>
          <w:szCs w:val="22"/>
          <w:lang w:eastAsia="en-AU"/>
        </w:rPr>
      </w:pPr>
      <w:r w:rsidRPr="00303B9E">
        <w:rPr>
          <w:rFonts w:asciiTheme="majorHAnsi" w:eastAsia="Times New Roman" w:hAnsiTheme="majorHAnsi" w:cs="Times New Roman"/>
          <w:color w:val="000000"/>
          <w:sz w:val="22"/>
          <w:szCs w:val="23"/>
          <w:lang w:eastAsia="en-AU"/>
        </w:rPr>
        <w:t xml:space="preserve">Previous Aboriginal site investigations identified some isolated sites and these have been registered with </w:t>
      </w:r>
      <w:r w:rsidR="00D70CD5" w:rsidRPr="00303B9E">
        <w:rPr>
          <w:rFonts w:asciiTheme="majorHAnsi" w:eastAsia="Times New Roman" w:hAnsiTheme="majorHAnsi" w:cs="Times New Roman"/>
          <w:color w:val="000000"/>
          <w:sz w:val="22"/>
          <w:szCs w:val="23"/>
          <w:lang w:eastAsia="en-AU"/>
        </w:rPr>
        <w:t>Aboriginal Heritage Information Management System (AHIMS)</w:t>
      </w:r>
      <w:r w:rsidRPr="00303B9E">
        <w:rPr>
          <w:rFonts w:asciiTheme="majorHAnsi" w:eastAsia="Times New Roman" w:hAnsiTheme="majorHAnsi" w:cs="Times New Roman"/>
          <w:color w:val="000000"/>
          <w:sz w:val="22"/>
          <w:szCs w:val="23"/>
          <w:lang w:eastAsia="en-AU"/>
        </w:rPr>
        <w:t>. A</w:t>
      </w:r>
      <w:r w:rsidR="00E35CBD">
        <w:rPr>
          <w:rFonts w:asciiTheme="majorHAnsi" w:eastAsia="Times New Roman" w:hAnsiTheme="majorHAnsi" w:cs="Times New Roman"/>
          <w:color w:val="000000"/>
          <w:sz w:val="22"/>
          <w:szCs w:val="23"/>
          <w:lang w:eastAsia="en-AU"/>
        </w:rPr>
        <w:t xml:space="preserve"> Preliminary </w:t>
      </w:r>
      <w:r w:rsidR="009A04B4" w:rsidRPr="00303B9E">
        <w:rPr>
          <w:rFonts w:asciiTheme="majorHAnsi" w:eastAsia="Times New Roman" w:hAnsiTheme="majorHAnsi" w:cs="Times New Roman"/>
          <w:color w:val="000000"/>
          <w:sz w:val="22"/>
          <w:szCs w:val="22"/>
          <w:lang w:eastAsia="en-AU"/>
        </w:rPr>
        <w:t>Aboriginal</w:t>
      </w:r>
      <w:r w:rsidRPr="00303B9E">
        <w:rPr>
          <w:rFonts w:asciiTheme="majorHAnsi" w:eastAsia="Times New Roman" w:hAnsiTheme="majorHAnsi" w:cs="Times New Roman"/>
          <w:color w:val="000000"/>
          <w:sz w:val="22"/>
          <w:szCs w:val="22"/>
          <w:lang w:eastAsia="en-AU"/>
        </w:rPr>
        <w:t xml:space="preserve"> </w:t>
      </w:r>
      <w:r w:rsidR="00E35CBD">
        <w:rPr>
          <w:rFonts w:asciiTheme="majorHAnsi" w:eastAsia="Times New Roman" w:hAnsiTheme="majorHAnsi" w:cs="Times New Roman"/>
          <w:color w:val="000000"/>
          <w:sz w:val="22"/>
          <w:szCs w:val="22"/>
          <w:lang w:eastAsia="en-AU"/>
        </w:rPr>
        <w:t xml:space="preserve">Heritage </w:t>
      </w:r>
      <w:r w:rsidR="009A04B4" w:rsidRPr="00303B9E">
        <w:rPr>
          <w:rFonts w:asciiTheme="majorHAnsi" w:eastAsia="Times New Roman" w:hAnsiTheme="majorHAnsi" w:cs="Times New Roman"/>
          <w:color w:val="000000"/>
          <w:sz w:val="22"/>
          <w:szCs w:val="22"/>
          <w:lang w:eastAsia="en-AU"/>
        </w:rPr>
        <w:t>Asse</w:t>
      </w:r>
      <w:r w:rsidR="00303B9E">
        <w:rPr>
          <w:rFonts w:asciiTheme="majorHAnsi" w:eastAsia="Times New Roman" w:hAnsiTheme="majorHAnsi" w:cs="Times New Roman"/>
          <w:color w:val="000000"/>
          <w:sz w:val="22"/>
          <w:szCs w:val="22"/>
          <w:lang w:eastAsia="en-AU"/>
        </w:rPr>
        <w:t>s</w:t>
      </w:r>
      <w:r w:rsidR="009A04B4" w:rsidRPr="00303B9E">
        <w:rPr>
          <w:rFonts w:asciiTheme="majorHAnsi" w:eastAsia="Times New Roman" w:hAnsiTheme="majorHAnsi" w:cs="Times New Roman"/>
          <w:color w:val="000000"/>
          <w:sz w:val="22"/>
          <w:szCs w:val="22"/>
          <w:lang w:eastAsia="en-AU"/>
        </w:rPr>
        <w:t xml:space="preserve">sment has been undertaken </w:t>
      </w:r>
      <w:r w:rsidR="005302F3" w:rsidRPr="00303B9E">
        <w:rPr>
          <w:rFonts w:asciiTheme="majorHAnsi" w:eastAsia="Times New Roman" w:hAnsiTheme="majorHAnsi" w:cs="Times New Roman"/>
          <w:color w:val="000000"/>
          <w:sz w:val="22"/>
          <w:szCs w:val="22"/>
          <w:lang w:eastAsia="en-AU"/>
        </w:rPr>
        <w:t>by M</w:t>
      </w:r>
      <w:r w:rsidR="009A04B4" w:rsidRPr="00303B9E">
        <w:rPr>
          <w:rFonts w:asciiTheme="majorHAnsi" w:eastAsia="Times New Roman" w:hAnsiTheme="majorHAnsi" w:cs="Times New Roman"/>
          <w:color w:val="000000"/>
          <w:sz w:val="22"/>
          <w:szCs w:val="22"/>
          <w:lang w:eastAsia="en-AU"/>
        </w:rPr>
        <w:t xml:space="preserve">yall Coast Archaeology and is included in </w:t>
      </w:r>
      <w:r w:rsidR="009A04B4" w:rsidRPr="008B3B98">
        <w:rPr>
          <w:rFonts w:asciiTheme="majorHAnsi" w:eastAsia="Times New Roman" w:hAnsiTheme="majorHAnsi" w:cs="Times New Roman"/>
          <w:b/>
          <w:color w:val="000000"/>
          <w:sz w:val="22"/>
          <w:szCs w:val="22"/>
          <w:lang w:eastAsia="en-AU"/>
        </w:rPr>
        <w:t xml:space="preserve">Appendix </w:t>
      </w:r>
      <w:r w:rsidR="008B3B98" w:rsidRPr="008B3B98">
        <w:rPr>
          <w:rFonts w:asciiTheme="majorHAnsi" w:eastAsia="Times New Roman" w:hAnsiTheme="majorHAnsi" w:cs="Times New Roman"/>
          <w:b/>
          <w:color w:val="000000"/>
          <w:sz w:val="22"/>
          <w:szCs w:val="22"/>
          <w:lang w:eastAsia="en-AU"/>
        </w:rPr>
        <w:t>4</w:t>
      </w:r>
      <w:r w:rsidR="009A04B4" w:rsidRPr="00303B9E">
        <w:rPr>
          <w:rFonts w:asciiTheme="majorHAnsi" w:eastAsia="Times New Roman" w:hAnsiTheme="majorHAnsi" w:cs="Times New Roman"/>
          <w:color w:val="000000"/>
          <w:sz w:val="22"/>
          <w:szCs w:val="22"/>
          <w:lang w:eastAsia="en-AU"/>
        </w:rPr>
        <w:t xml:space="preserve">.  The Due Diligence Assessment identified 44 </w:t>
      </w:r>
      <w:r w:rsidR="00303B9E" w:rsidRPr="00303B9E">
        <w:rPr>
          <w:rFonts w:asciiTheme="majorHAnsi" w:eastAsia="Times New Roman" w:hAnsiTheme="majorHAnsi" w:cs="Times New Roman"/>
          <w:color w:val="000000"/>
          <w:sz w:val="22"/>
          <w:szCs w:val="22"/>
          <w:lang w:eastAsia="en-AU"/>
        </w:rPr>
        <w:t>artefacts</w:t>
      </w:r>
      <w:r w:rsidR="00E35CBD">
        <w:rPr>
          <w:rFonts w:asciiTheme="majorHAnsi" w:eastAsia="Times New Roman" w:hAnsiTheme="majorHAnsi" w:cs="Times New Roman"/>
          <w:color w:val="000000"/>
          <w:sz w:val="22"/>
          <w:szCs w:val="22"/>
          <w:lang w:eastAsia="en-AU"/>
        </w:rPr>
        <w:t xml:space="preserve"> and site cards </w:t>
      </w:r>
      <w:r w:rsidR="00877A9D">
        <w:rPr>
          <w:rFonts w:asciiTheme="majorHAnsi" w:eastAsia="Times New Roman" w:hAnsiTheme="majorHAnsi" w:cs="Times New Roman"/>
          <w:color w:val="000000"/>
          <w:sz w:val="22"/>
          <w:szCs w:val="22"/>
          <w:lang w:eastAsia="en-AU"/>
        </w:rPr>
        <w:t xml:space="preserve">for </w:t>
      </w:r>
      <w:r w:rsidR="00E35CBD">
        <w:rPr>
          <w:rFonts w:asciiTheme="majorHAnsi" w:eastAsia="Times New Roman" w:hAnsiTheme="majorHAnsi" w:cs="Times New Roman"/>
          <w:color w:val="000000"/>
          <w:sz w:val="22"/>
          <w:szCs w:val="22"/>
          <w:lang w:eastAsia="en-AU"/>
        </w:rPr>
        <w:t>these objects were completed and forwarded to the AHIMS.</w:t>
      </w:r>
      <w:r w:rsidR="009A04B4" w:rsidRPr="00303B9E">
        <w:rPr>
          <w:rFonts w:asciiTheme="majorHAnsi" w:eastAsia="Times New Roman" w:hAnsiTheme="majorHAnsi" w:cs="Times New Roman"/>
          <w:color w:val="000000"/>
          <w:sz w:val="22"/>
          <w:szCs w:val="22"/>
          <w:lang w:eastAsia="en-AU"/>
        </w:rPr>
        <w:t xml:space="preserve"> None of the artefacts will be disturbed as a result of the rezoning. Consultation with O</w:t>
      </w:r>
      <w:r w:rsidR="005302F3" w:rsidRPr="00303B9E">
        <w:rPr>
          <w:rFonts w:asciiTheme="majorHAnsi" w:eastAsia="Times New Roman" w:hAnsiTheme="majorHAnsi" w:cs="Times New Roman"/>
          <w:color w:val="000000"/>
          <w:sz w:val="22"/>
          <w:szCs w:val="22"/>
          <w:lang w:eastAsia="en-AU"/>
        </w:rPr>
        <w:t xml:space="preserve">ffice of </w:t>
      </w:r>
      <w:r w:rsidR="009A04B4" w:rsidRPr="00303B9E">
        <w:rPr>
          <w:rFonts w:asciiTheme="majorHAnsi" w:eastAsia="Times New Roman" w:hAnsiTheme="majorHAnsi" w:cs="Times New Roman"/>
          <w:color w:val="000000"/>
          <w:sz w:val="22"/>
          <w:szCs w:val="22"/>
          <w:lang w:eastAsia="en-AU"/>
        </w:rPr>
        <w:t>E</w:t>
      </w:r>
      <w:r w:rsidR="005302F3" w:rsidRPr="00303B9E">
        <w:rPr>
          <w:rFonts w:asciiTheme="majorHAnsi" w:eastAsia="Times New Roman" w:hAnsiTheme="majorHAnsi" w:cs="Times New Roman"/>
          <w:color w:val="000000"/>
          <w:sz w:val="22"/>
          <w:szCs w:val="22"/>
          <w:lang w:eastAsia="en-AU"/>
        </w:rPr>
        <w:t xml:space="preserve">nvironment and </w:t>
      </w:r>
      <w:r w:rsidR="009A04B4" w:rsidRPr="00303B9E">
        <w:rPr>
          <w:rFonts w:asciiTheme="majorHAnsi" w:eastAsia="Times New Roman" w:hAnsiTheme="majorHAnsi" w:cs="Times New Roman"/>
          <w:color w:val="000000"/>
          <w:sz w:val="22"/>
          <w:szCs w:val="22"/>
          <w:lang w:eastAsia="en-AU"/>
        </w:rPr>
        <w:t>H</w:t>
      </w:r>
      <w:r w:rsidR="005302F3" w:rsidRPr="00303B9E">
        <w:rPr>
          <w:rFonts w:asciiTheme="majorHAnsi" w:eastAsia="Times New Roman" w:hAnsiTheme="majorHAnsi" w:cs="Times New Roman"/>
          <w:color w:val="000000"/>
          <w:sz w:val="22"/>
          <w:szCs w:val="22"/>
          <w:lang w:eastAsia="en-AU"/>
        </w:rPr>
        <w:t>eritage</w:t>
      </w:r>
      <w:r w:rsidR="009A04B4" w:rsidRPr="00303B9E">
        <w:rPr>
          <w:rFonts w:asciiTheme="majorHAnsi" w:eastAsia="Times New Roman" w:hAnsiTheme="majorHAnsi" w:cs="Times New Roman"/>
          <w:color w:val="000000"/>
          <w:sz w:val="22"/>
          <w:szCs w:val="22"/>
          <w:lang w:eastAsia="en-AU"/>
        </w:rPr>
        <w:t xml:space="preserve"> </w:t>
      </w:r>
      <w:r w:rsidR="005302F3" w:rsidRPr="00303B9E">
        <w:rPr>
          <w:rFonts w:asciiTheme="majorHAnsi" w:eastAsia="Times New Roman" w:hAnsiTheme="majorHAnsi" w:cs="Times New Roman"/>
          <w:color w:val="000000"/>
          <w:sz w:val="22"/>
          <w:szCs w:val="22"/>
          <w:lang w:eastAsia="en-AU"/>
        </w:rPr>
        <w:t xml:space="preserve">(OEH) </w:t>
      </w:r>
      <w:r w:rsidR="009A04B4" w:rsidRPr="00303B9E">
        <w:rPr>
          <w:rFonts w:asciiTheme="majorHAnsi" w:eastAsia="Times New Roman" w:hAnsiTheme="majorHAnsi" w:cs="Times New Roman"/>
          <w:color w:val="000000"/>
          <w:sz w:val="22"/>
          <w:szCs w:val="22"/>
          <w:lang w:eastAsia="en-AU"/>
        </w:rPr>
        <w:t>and W</w:t>
      </w:r>
      <w:r w:rsidR="005302F3" w:rsidRPr="00303B9E">
        <w:rPr>
          <w:rFonts w:asciiTheme="majorHAnsi" w:eastAsia="Times New Roman" w:hAnsiTheme="majorHAnsi" w:cs="Times New Roman"/>
          <w:color w:val="000000"/>
          <w:sz w:val="22"/>
          <w:szCs w:val="22"/>
          <w:lang w:eastAsia="en-AU"/>
        </w:rPr>
        <w:t xml:space="preserve">anaruah Local Aboriginal Land Council (WLALC) was undertaken by Myall Coast </w:t>
      </w:r>
      <w:r w:rsidR="00303B9E" w:rsidRPr="00303B9E">
        <w:rPr>
          <w:rFonts w:asciiTheme="majorHAnsi" w:eastAsia="Times New Roman" w:hAnsiTheme="majorHAnsi" w:cs="Times New Roman"/>
          <w:color w:val="000000"/>
          <w:sz w:val="22"/>
          <w:szCs w:val="22"/>
          <w:lang w:eastAsia="en-AU"/>
        </w:rPr>
        <w:t>Archaeology</w:t>
      </w:r>
      <w:r w:rsidR="005302F3" w:rsidRPr="00303B9E">
        <w:rPr>
          <w:rFonts w:asciiTheme="majorHAnsi" w:eastAsia="Times New Roman" w:hAnsiTheme="majorHAnsi" w:cs="Times New Roman"/>
          <w:color w:val="000000"/>
          <w:sz w:val="22"/>
          <w:szCs w:val="22"/>
          <w:lang w:eastAsia="en-AU"/>
        </w:rPr>
        <w:t xml:space="preserve"> and </w:t>
      </w:r>
      <w:proofErr w:type="gramStart"/>
      <w:r w:rsidR="005302F3" w:rsidRPr="00303B9E">
        <w:rPr>
          <w:rFonts w:asciiTheme="majorHAnsi" w:eastAsia="Times New Roman" w:hAnsiTheme="majorHAnsi" w:cs="Times New Roman"/>
          <w:color w:val="000000"/>
          <w:sz w:val="22"/>
          <w:szCs w:val="22"/>
          <w:lang w:eastAsia="en-AU"/>
        </w:rPr>
        <w:t>copies of correspondence is</w:t>
      </w:r>
      <w:proofErr w:type="gramEnd"/>
      <w:r w:rsidR="005302F3" w:rsidRPr="00303B9E">
        <w:rPr>
          <w:rFonts w:asciiTheme="majorHAnsi" w:eastAsia="Times New Roman" w:hAnsiTheme="majorHAnsi" w:cs="Times New Roman"/>
          <w:color w:val="000000"/>
          <w:sz w:val="22"/>
          <w:szCs w:val="22"/>
          <w:lang w:eastAsia="en-AU"/>
        </w:rPr>
        <w:t xml:space="preserve"> included in the report.  The feedback on the draft report by WLALC has been </w:t>
      </w:r>
      <w:r w:rsidR="00303B9E">
        <w:rPr>
          <w:rFonts w:asciiTheme="majorHAnsi" w:eastAsia="Times New Roman" w:hAnsiTheme="majorHAnsi" w:cs="Times New Roman"/>
          <w:color w:val="000000"/>
          <w:sz w:val="22"/>
          <w:szCs w:val="22"/>
          <w:lang w:eastAsia="en-AU"/>
        </w:rPr>
        <w:t>considered</w:t>
      </w:r>
      <w:r w:rsidR="005302F3" w:rsidRPr="00303B9E">
        <w:rPr>
          <w:rFonts w:asciiTheme="majorHAnsi" w:eastAsia="Times New Roman" w:hAnsiTheme="majorHAnsi" w:cs="Times New Roman"/>
          <w:color w:val="000000"/>
          <w:sz w:val="22"/>
          <w:szCs w:val="22"/>
          <w:lang w:eastAsia="en-AU"/>
        </w:rPr>
        <w:t xml:space="preserve"> by Myall Coast </w:t>
      </w:r>
      <w:r w:rsidR="00475AD1" w:rsidRPr="00303B9E">
        <w:rPr>
          <w:rFonts w:asciiTheme="majorHAnsi" w:eastAsia="Times New Roman" w:hAnsiTheme="majorHAnsi" w:cs="Times New Roman"/>
          <w:color w:val="000000"/>
          <w:sz w:val="22"/>
          <w:szCs w:val="22"/>
          <w:lang w:eastAsia="en-AU"/>
        </w:rPr>
        <w:t>Archaeology</w:t>
      </w:r>
      <w:r w:rsidR="005302F3" w:rsidRPr="00303B9E">
        <w:rPr>
          <w:rFonts w:asciiTheme="majorHAnsi" w:eastAsia="Times New Roman" w:hAnsiTheme="majorHAnsi" w:cs="Times New Roman"/>
          <w:color w:val="000000"/>
          <w:sz w:val="22"/>
          <w:szCs w:val="22"/>
          <w:lang w:eastAsia="en-AU"/>
        </w:rPr>
        <w:t xml:space="preserve"> and the final Due Diligence Assessment reflects the requirement that prior to the commencement of any future approved development of the land further </w:t>
      </w:r>
      <w:r w:rsidR="00E35CBD">
        <w:rPr>
          <w:rFonts w:asciiTheme="majorHAnsi" w:eastAsia="Times New Roman" w:hAnsiTheme="majorHAnsi" w:cs="Times New Roman"/>
          <w:color w:val="000000"/>
          <w:sz w:val="22"/>
          <w:szCs w:val="22"/>
          <w:lang w:eastAsia="en-AU"/>
        </w:rPr>
        <w:t xml:space="preserve">comprehensive </w:t>
      </w:r>
      <w:r w:rsidR="005302F3" w:rsidRPr="00303B9E">
        <w:rPr>
          <w:rFonts w:asciiTheme="majorHAnsi" w:eastAsia="Times New Roman" w:hAnsiTheme="majorHAnsi" w:cs="Times New Roman"/>
          <w:color w:val="000000"/>
          <w:sz w:val="22"/>
          <w:szCs w:val="22"/>
          <w:lang w:eastAsia="en-AU"/>
        </w:rPr>
        <w:t xml:space="preserve">archaeological assessment in accordance with OEH requirements be undertaken.  </w:t>
      </w:r>
      <w:r w:rsidR="00303B9E">
        <w:rPr>
          <w:rFonts w:asciiTheme="majorHAnsi" w:eastAsia="Times New Roman" w:hAnsiTheme="majorHAnsi" w:cs="Times New Roman"/>
          <w:color w:val="000000"/>
          <w:sz w:val="22"/>
          <w:szCs w:val="22"/>
          <w:lang w:eastAsia="en-AU"/>
        </w:rPr>
        <w:t xml:space="preserve">This recommendation will ensure that adequate consultation with </w:t>
      </w:r>
      <w:r w:rsidR="00E35CBD">
        <w:rPr>
          <w:rFonts w:asciiTheme="majorHAnsi" w:eastAsia="Times New Roman" w:hAnsiTheme="majorHAnsi" w:cs="Times New Roman"/>
          <w:color w:val="000000"/>
          <w:sz w:val="22"/>
          <w:szCs w:val="22"/>
          <w:lang w:eastAsia="en-AU"/>
        </w:rPr>
        <w:t xml:space="preserve">the relevant Aboriginal </w:t>
      </w:r>
      <w:r w:rsidR="00303B9E">
        <w:rPr>
          <w:rFonts w:asciiTheme="majorHAnsi" w:eastAsia="Times New Roman" w:hAnsiTheme="majorHAnsi" w:cs="Times New Roman"/>
          <w:color w:val="000000"/>
          <w:sz w:val="22"/>
          <w:szCs w:val="22"/>
          <w:lang w:eastAsia="en-AU"/>
        </w:rPr>
        <w:t>stakeholders is undertaken</w:t>
      </w:r>
      <w:r w:rsidR="006C7B49">
        <w:rPr>
          <w:rFonts w:asciiTheme="majorHAnsi" w:eastAsia="Times New Roman" w:hAnsiTheme="majorHAnsi" w:cs="Times New Roman"/>
          <w:color w:val="000000"/>
          <w:sz w:val="22"/>
          <w:szCs w:val="22"/>
          <w:lang w:eastAsia="en-AU"/>
        </w:rPr>
        <w:t xml:space="preserve">. </w:t>
      </w:r>
      <w:r w:rsidR="002A7949" w:rsidRPr="00475AD1">
        <w:rPr>
          <w:rFonts w:asciiTheme="majorHAnsi" w:eastAsia="Times New Roman" w:hAnsiTheme="majorHAnsi" w:cs="Times New Roman"/>
          <w:color w:val="000000"/>
          <w:sz w:val="22"/>
          <w:szCs w:val="22"/>
          <w:lang w:eastAsia="en-AU"/>
        </w:rPr>
        <w:t xml:space="preserve">This position is consistent with advice from </w:t>
      </w:r>
      <w:r w:rsidR="006C7B49">
        <w:rPr>
          <w:rFonts w:asciiTheme="majorHAnsi" w:eastAsia="Times New Roman" w:hAnsiTheme="majorHAnsi" w:cs="Times New Roman"/>
          <w:color w:val="000000"/>
          <w:sz w:val="22"/>
          <w:szCs w:val="22"/>
          <w:lang w:eastAsia="en-AU"/>
        </w:rPr>
        <w:t xml:space="preserve">the </w:t>
      </w:r>
      <w:r w:rsidR="002A7949" w:rsidRPr="00475AD1">
        <w:rPr>
          <w:rFonts w:asciiTheme="majorHAnsi" w:eastAsia="Times New Roman" w:hAnsiTheme="majorHAnsi" w:cs="Times New Roman"/>
          <w:color w:val="000000"/>
          <w:sz w:val="22"/>
          <w:szCs w:val="22"/>
          <w:lang w:eastAsia="en-AU"/>
        </w:rPr>
        <w:t>OEH</w:t>
      </w:r>
      <w:r w:rsidR="006C7B49">
        <w:rPr>
          <w:rFonts w:asciiTheme="majorHAnsi" w:eastAsia="Times New Roman" w:hAnsiTheme="majorHAnsi" w:cs="Times New Roman"/>
          <w:color w:val="000000"/>
          <w:sz w:val="22"/>
          <w:szCs w:val="22"/>
          <w:lang w:eastAsia="en-AU"/>
        </w:rPr>
        <w:t>.</w:t>
      </w:r>
    </w:p>
    <w:p w:rsidR="00490DE9" w:rsidRPr="00877A9D" w:rsidRDefault="00490DE9" w:rsidP="00877A9D">
      <w:pPr>
        <w:spacing w:after="120"/>
        <w:jc w:val="both"/>
        <w:rPr>
          <w:rFonts w:asciiTheme="majorHAnsi" w:eastAsia="Times New Roman" w:hAnsiTheme="majorHAnsi" w:cs="Times New Roman"/>
          <w:b/>
          <w:color w:val="000000"/>
          <w:sz w:val="16"/>
          <w:szCs w:val="16"/>
          <w:lang w:eastAsia="en-AU"/>
        </w:rPr>
      </w:pPr>
    </w:p>
    <w:p w:rsidR="009757DA" w:rsidRPr="00475AD1" w:rsidRDefault="009420FB" w:rsidP="00877A9D">
      <w:pPr>
        <w:spacing w:after="120"/>
        <w:jc w:val="both"/>
        <w:rPr>
          <w:rFonts w:asciiTheme="majorHAnsi" w:eastAsia="Times New Roman" w:hAnsiTheme="majorHAnsi" w:cs="Times New Roman"/>
          <w:b/>
          <w:caps/>
          <w:color w:val="000000"/>
          <w:sz w:val="22"/>
          <w:szCs w:val="23"/>
          <w:lang w:eastAsia="en-AU"/>
        </w:rPr>
      </w:pPr>
      <w:r w:rsidRPr="00475AD1">
        <w:rPr>
          <w:rFonts w:asciiTheme="majorHAnsi" w:eastAsia="Times New Roman" w:hAnsiTheme="majorHAnsi" w:cs="Times New Roman"/>
          <w:b/>
          <w:color w:val="000000"/>
          <w:sz w:val="22"/>
          <w:szCs w:val="23"/>
          <w:lang w:eastAsia="en-AU"/>
        </w:rPr>
        <w:t>Land Capability:</w:t>
      </w:r>
    </w:p>
    <w:p w:rsidR="009757DA" w:rsidRPr="00475AD1" w:rsidRDefault="009757DA" w:rsidP="009420FB">
      <w:pPr>
        <w:spacing w:before="120" w:after="120"/>
        <w:jc w:val="both"/>
        <w:rPr>
          <w:rFonts w:asciiTheme="majorHAnsi" w:eastAsia="Times New Roman" w:hAnsiTheme="majorHAnsi" w:cs="Times New Roman"/>
          <w:color w:val="000000"/>
          <w:sz w:val="22"/>
          <w:szCs w:val="23"/>
          <w:lang w:eastAsia="en-AU"/>
        </w:rPr>
      </w:pPr>
      <w:r w:rsidRPr="00475AD1">
        <w:rPr>
          <w:rFonts w:asciiTheme="majorHAnsi" w:eastAsia="Times New Roman" w:hAnsiTheme="majorHAnsi" w:cs="Times New Roman"/>
          <w:color w:val="000000"/>
          <w:sz w:val="22"/>
          <w:szCs w:val="23"/>
          <w:lang w:eastAsia="en-AU"/>
        </w:rPr>
        <w:t xml:space="preserve">The land the subject of this proposal has been mapped as containing Class IV land capability. The land has previously been approved for the construction of a commercial winery and does not have a successful history of agricultural or viticulture uses. There will be no loss of productive agricultural land as a result of this rezoning. </w:t>
      </w:r>
    </w:p>
    <w:p w:rsidR="009420FB" w:rsidRPr="00877A9D" w:rsidRDefault="009420FB" w:rsidP="009420FB">
      <w:pPr>
        <w:spacing w:before="120" w:after="120"/>
        <w:jc w:val="both"/>
        <w:rPr>
          <w:rFonts w:asciiTheme="majorHAnsi" w:eastAsia="Times New Roman" w:hAnsiTheme="majorHAnsi" w:cs="Times New Roman"/>
          <w:b/>
          <w:color w:val="000000"/>
          <w:sz w:val="16"/>
          <w:szCs w:val="16"/>
          <w:lang w:eastAsia="en-AU"/>
        </w:rPr>
      </w:pPr>
    </w:p>
    <w:p w:rsidR="009757DA" w:rsidRPr="00475AD1" w:rsidRDefault="009420FB" w:rsidP="009420FB">
      <w:pPr>
        <w:spacing w:before="120" w:after="120"/>
        <w:jc w:val="both"/>
        <w:rPr>
          <w:rFonts w:asciiTheme="majorHAnsi" w:eastAsia="Times New Roman" w:hAnsiTheme="majorHAnsi" w:cs="Times New Roman"/>
          <w:b/>
          <w:caps/>
          <w:color w:val="000000"/>
          <w:sz w:val="22"/>
          <w:szCs w:val="23"/>
          <w:lang w:eastAsia="en-AU"/>
        </w:rPr>
      </w:pPr>
      <w:r w:rsidRPr="00475AD1">
        <w:rPr>
          <w:rFonts w:asciiTheme="majorHAnsi" w:eastAsia="Times New Roman" w:hAnsiTheme="majorHAnsi" w:cs="Times New Roman"/>
          <w:b/>
          <w:color w:val="000000"/>
          <w:sz w:val="22"/>
          <w:szCs w:val="23"/>
          <w:lang w:eastAsia="en-AU"/>
        </w:rPr>
        <w:t>Land Use Conflict:</w:t>
      </w:r>
    </w:p>
    <w:p w:rsidR="00475AD1" w:rsidRDefault="009757DA" w:rsidP="009420FB">
      <w:pPr>
        <w:spacing w:before="120" w:after="120"/>
        <w:jc w:val="both"/>
        <w:rPr>
          <w:rFonts w:asciiTheme="majorHAnsi" w:eastAsia="Times New Roman" w:hAnsiTheme="majorHAnsi" w:cs="Times New Roman"/>
          <w:color w:val="000000"/>
          <w:sz w:val="22"/>
          <w:szCs w:val="23"/>
          <w:lang w:eastAsia="en-AU"/>
        </w:rPr>
      </w:pPr>
      <w:r w:rsidRPr="00475AD1">
        <w:rPr>
          <w:rFonts w:asciiTheme="majorHAnsi" w:eastAsia="Times New Roman" w:hAnsiTheme="majorHAnsi" w:cs="Times New Roman"/>
          <w:color w:val="000000"/>
          <w:sz w:val="22"/>
          <w:szCs w:val="23"/>
          <w:lang w:eastAsia="en-AU"/>
        </w:rPr>
        <w:t xml:space="preserve">The adjoining vineyard will continue to be used for grape production and the </w:t>
      </w:r>
      <w:r w:rsidR="00D42DBD" w:rsidRPr="00475AD1">
        <w:rPr>
          <w:rFonts w:asciiTheme="majorHAnsi" w:eastAsia="Times New Roman" w:hAnsiTheme="majorHAnsi" w:cs="Times New Roman"/>
          <w:color w:val="000000"/>
          <w:sz w:val="22"/>
          <w:szCs w:val="23"/>
          <w:lang w:eastAsia="en-AU"/>
        </w:rPr>
        <w:t>day-to-day</w:t>
      </w:r>
      <w:r w:rsidRPr="00475AD1">
        <w:rPr>
          <w:rFonts w:asciiTheme="majorHAnsi" w:eastAsia="Times New Roman" w:hAnsiTheme="majorHAnsi" w:cs="Times New Roman"/>
          <w:color w:val="000000"/>
          <w:sz w:val="22"/>
          <w:szCs w:val="23"/>
          <w:lang w:eastAsia="en-AU"/>
        </w:rPr>
        <w:t xml:space="preserve"> operation will be managed to ensure there is no acoustic or air quality conflicts with the neighbouring large lot residential properties. </w:t>
      </w:r>
      <w:r w:rsidR="00303B9E" w:rsidRPr="00475AD1">
        <w:rPr>
          <w:rFonts w:asciiTheme="majorHAnsi" w:eastAsia="Times New Roman" w:hAnsiTheme="majorHAnsi" w:cs="Times New Roman"/>
          <w:color w:val="000000"/>
          <w:sz w:val="22"/>
          <w:szCs w:val="23"/>
          <w:lang w:eastAsia="en-AU"/>
        </w:rPr>
        <w:t xml:space="preserve">The concept lot layout </w:t>
      </w:r>
      <w:r w:rsidR="00475AD1" w:rsidRPr="00475AD1">
        <w:rPr>
          <w:rFonts w:asciiTheme="majorHAnsi" w:eastAsia="Times New Roman" w:hAnsiTheme="majorHAnsi" w:cs="Times New Roman"/>
          <w:color w:val="000000"/>
          <w:sz w:val="22"/>
          <w:szCs w:val="23"/>
          <w:lang w:eastAsia="en-AU"/>
        </w:rPr>
        <w:t>submitted</w:t>
      </w:r>
      <w:r w:rsidR="00303B9E" w:rsidRPr="00475AD1">
        <w:rPr>
          <w:rFonts w:asciiTheme="majorHAnsi" w:eastAsia="Times New Roman" w:hAnsiTheme="majorHAnsi" w:cs="Times New Roman"/>
          <w:color w:val="000000"/>
          <w:sz w:val="22"/>
          <w:szCs w:val="23"/>
          <w:lang w:eastAsia="en-AU"/>
        </w:rPr>
        <w:t xml:space="preserve"> in </w:t>
      </w:r>
      <w:r w:rsidR="00303B9E" w:rsidRPr="00475AD1">
        <w:rPr>
          <w:rFonts w:asciiTheme="majorHAnsi" w:eastAsia="Times New Roman" w:hAnsiTheme="majorHAnsi" w:cs="Times New Roman"/>
          <w:b/>
          <w:color w:val="000000"/>
          <w:sz w:val="22"/>
          <w:szCs w:val="23"/>
          <w:lang w:eastAsia="en-AU"/>
        </w:rPr>
        <w:t xml:space="preserve">Appendix </w:t>
      </w:r>
      <w:r w:rsidR="008B3B98" w:rsidRPr="00475AD1">
        <w:rPr>
          <w:rFonts w:asciiTheme="majorHAnsi" w:eastAsia="Times New Roman" w:hAnsiTheme="majorHAnsi" w:cs="Times New Roman"/>
          <w:b/>
          <w:color w:val="000000"/>
          <w:sz w:val="22"/>
          <w:szCs w:val="23"/>
          <w:lang w:eastAsia="en-AU"/>
        </w:rPr>
        <w:t>4</w:t>
      </w:r>
      <w:r w:rsidR="00303B9E" w:rsidRPr="00475AD1">
        <w:rPr>
          <w:rFonts w:asciiTheme="majorHAnsi" w:eastAsia="Times New Roman" w:hAnsiTheme="majorHAnsi" w:cs="Times New Roman"/>
          <w:color w:val="000000"/>
          <w:sz w:val="22"/>
          <w:szCs w:val="23"/>
          <w:lang w:eastAsia="en-AU"/>
        </w:rPr>
        <w:t xml:space="preserve"> demonstrates that a suitable buffer can </w:t>
      </w:r>
      <w:r w:rsidR="000E275D" w:rsidRPr="00475AD1">
        <w:rPr>
          <w:rFonts w:asciiTheme="majorHAnsi" w:eastAsia="Times New Roman" w:hAnsiTheme="majorHAnsi" w:cs="Times New Roman"/>
          <w:color w:val="000000"/>
          <w:sz w:val="22"/>
          <w:szCs w:val="23"/>
          <w:lang w:eastAsia="en-AU"/>
        </w:rPr>
        <w:t>be</w:t>
      </w:r>
      <w:r w:rsidRPr="00475AD1">
        <w:rPr>
          <w:rFonts w:asciiTheme="majorHAnsi" w:eastAsia="Times New Roman" w:hAnsiTheme="majorHAnsi" w:cs="Times New Roman"/>
          <w:color w:val="000000"/>
          <w:sz w:val="22"/>
          <w:szCs w:val="23"/>
          <w:lang w:eastAsia="en-AU"/>
        </w:rPr>
        <w:t xml:space="preserve"> provided along the southern </w:t>
      </w:r>
      <w:r w:rsidR="00303B9E" w:rsidRPr="00475AD1">
        <w:rPr>
          <w:rFonts w:asciiTheme="majorHAnsi" w:eastAsia="Times New Roman" w:hAnsiTheme="majorHAnsi" w:cs="Times New Roman"/>
          <w:color w:val="000000"/>
          <w:sz w:val="22"/>
          <w:szCs w:val="23"/>
          <w:lang w:eastAsia="en-AU"/>
        </w:rPr>
        <w:t xml:space="preserve">and eastern </w:t>
      </w:r>
      <w:r w:rsidRPr="00475AD1">
        <w:rPr>
          <w:rFonts w:asciiTheme="majorHAnsi" w:eastAsia="Times New Roman" w:hAnsiTheme="majorHAnsi" w:cs="Times New Roman"/>
          <w:color w:val="000000"/>
          <w:sz w:val="22"/>
          <w:szCs w:val="23"/>
          <w:lang w:eastAsia="en-AU"/>
        </w:rPr>
        <w:t xml:space="preserve">boundary to ensure a physical separation between the two uses. </w:t>
      </w:r>
      <w:r w:rsidR="00303B9E" w:rsidRPr="00475AD1">
        <w:rPr>
          <w:rFonts w:asciiTheme="majorHAnsi" w:eastAsia="Times New Roman" w:hAnsiTheme="majorHAnsi" w:cs="Times New Roman"/>
          <w:color w:val="000000"/>
          <w:sz w:val="22"/>
          <w:szCs w:val="23"/>
          <w:lang w:eastAsia="en-AU"/>
        </w:rPr>
        <w:t xml:space="preserve">The buffer shown is indicative only and may be subject to change as the design of the </w:t>
      </w:r>
      <w:r w:rsidR="00475AD1" w:rsidRPr="00475AD1">
        <w:rPr>
          <w:rFonts w:asciiTheme="majorHAnsi" w:eastAsia="Times New Roman" w:hAnsiTheme="majorHAnsi" w:cs="Times New Roman"/>
          <w:color w:val="000000"/>
          <w:sz w:val="22"/>
          <w:szCs w:val="23"/>
          <w:lang w:eastAsia="en-AU"/>
        </w:rPr>
        <w:t>future</w:t>
      </w:r>
      <w:r w:rsidR="00303B9E" w:rsidRPr="00475AD1">
        <w:rPr>
          <w:rFonts w:asciiTheme="majorHAnsi" w:eastAsia="Times New Roman" w:hAnsiTheme="majorHAnsi" w:cs="Times New Roman"/>
          <w:color w:val="000000"/>
          <w:sz w:val="22"/>
          <w:szCs w:val="23"/>
          <w:lang w:eastAsia="en-AU"/>
        </w:rPr>
        <w:t xml:space="preserve"> </w:t>
      </w:r>
      <w:r w:rsidR="00475AD1" w:rsidRPr="00475AD1">
        <w:rPr>
          <w:rFonts w:asciiTheme="majorHAnsi" w:eastAsia="Times New Roman" w:hAnsiTheme="majorHAnsi" w:cs="Times New Roman"/>
          <w:color w:val="000000"/>
          <w:sz w:val="22"/>
          <w:szCs w:val="23"/>
          <w:lang w:eastAsia="en-AU"/>
        </w:rPr>
        <w:t>subdivision</w:t>
      </w:r>
      <w:r w:rsidR="00303B9E" w:rsidRPr="00475AD1">
        <w:rPr>
          <w:rFonts w:asciiTheme="majorHAnsi" w:eastAsia="Times New Roman" w:hAnsiTheme="majorHAnsi" w:cs="Times New Roman"/>
          <w:color w:val="000000"/>
          <w:sz w:val="22"/>
          <w:szCs w:val="23"/>
          <w:lang w:eastAsia="en-AU"/>
        </w:rPr>
        <w:t xml:space="preserve"> develops.  The concept behind the buffer is to enable a suitable area within the R5 zone lots that is capable of </w:t>
      </w:r>
      <w:r w:rsidR="001C0DC0" w:rsidRPr="00475AD1">
        <w:rPr>
          <w:rFonts w:asciiTheme="majorHAnsi" w:eastAsia="Times New Roman" w:hAnsiTheme="majorHAnsi" w:cs="Times New Roman"/>
          <w:color w:val="000000"/>
          <w:sz w:val="22"/>
          <w:szCs w:val="23"/>
          <w:lang w:eastAsia="en-AU"/>
        </w:rPr>
        <w:t>accommodating</w:t>
      </w:r>
      <w:r w:rsidR="00303B9E" w:rsidRPr="00475AD1">
        <w:rPr>
          <w:rFonts w:asciiTheme="majorHAnsi" w:eastAsia="Times New Roman" w:hAnsiTheme="majorHAnsi" w:cs="Times New Roman"/>
          <w:color w:val="000000"/>
          <w:sz w:val="22"/>
          <w:szCs w:val="23"/>
          <w:lang w:eastAsia="en-AU"/>
        </w:rPr>
        <w:t xml:space="preserve"> a dwelling and principle </w:t>
      </w:r>
      <w:r w:rsidR="001C0DC0" w:rsidRPr="00475AD1">
        <w:rPr>
          <w:rFonts w:asciiTheme="majorHAnsi" w:eastAsia="Times New Roman" w:hAnsiTheme="majorHAnsi" w:cs="Times New Roman"/>
          <w:color w:val="000000"/>
          <w:sz w:val="22"/>
          <w:szCs w:val="23"/>
          <w:lang w:eastAsia="en-AU"/>
        </w:rPr>
        <w:t xml:space="preserve">area of open space that is physically </w:t>
      </w:r>
      <w:r w:rsidR="00475AD1" w:rsidRPr="00475AD1">
        <w:rPr>
          <w:rFonts w:asciiTheme="majorHAnsi" w:eastAsia="Times New Roman" w:hAnsiTheme="majorHAnsi" w:cs="Times New Roman"/>
          <w:color w:val="000000"/>
          <w:sz w:val="22"/>
          <w:szCs w:val="23"/>
          <w:lang w:eastAsia="en-AU"/>
        </w:rPr>
        <w:t>separated</w:t>
      </w:r>
      <w:r w:rsidR="001C0DC0" w:rsidRPr="00475AD1">
        <w:rPr>
          <w:rFonts w:asciiTheme="majorHAnsi" w:eastAsia="Times New Roman" w:hAnsiTheme="majorHAnsi" w:cs="Times New Roman"/>
          <w:color w:val="000000"/>
          <w:sz w:val="22"/>
          <w:szCs w:val="23"/>
          <w:lang w:eastAsia="en-AU"/>
        </w:rPr>
        <w:t xml:space="preserve"> from the common boundary.  It is envisaged that part of the buffer will also be provided within the Two Rivers land and that this area will contain future vegetation planting.  It is </w:t>
      </w:r>
      <w:r w:rsidR="00475AD1" w:rsidRPr="00475AD1">
        <w:rPr>
          <w:rFonts w:asciiTheme="majorHAnsi" w:eastAsia="Times New Roman" w:hAnsiTheme="majorHAnsi" w:cs="Times New Roman"/>
          <w:color w:val="000000"/>
          <w:sz w:val="22"/>
          <w:szCs w:val="23"/>
          <w:lang w:eastAsia="en-AU"/>
        </w:rPr>
        <w:t>important</w:t>
      </w:r>
      <w:r w:rsidR="001C0DC0" w:rsidRPr="00475AD1">
        <w:rPr>
          <w:rFonts w:asciiTheme="majorHAnsi" w:eastAsia="Times New Roman" w:hAnsiTheme="majorHAnsi" w:cs="Times New Roman"/>
          <w:color w:val="000000"/>
          <w:sz w:val="22"/>
          <w:szCs w:val="23"/>
          <w:lang w:eastAsia="en-AU"/>
        </w:rPr>
        <w:t xml:space="preserve"> that Two Rivers land </w:t>
      </w:r>
      <w:r w:rsidR="00475AD1" w:rsidRPr="00475AD1">
        <w:rPr>
          <w:rFonts w:asciiTheme="majorHAnsi" w:eastAsia="Times New Roman" w:hAnsiTheme="majorHAnsi" w:cs="Times New Roman"/>
          <w:color w:val="000000"/>
          <w:sz w:val="22"/>
          <w:szCs w:val="23"/>
          <w:lang w:eastAsia="en-AU"/>
        </w:rPr>
        <w:t>accommodates</w:t>
      </w:r>
      <w:r w:rsidR="001C0DC0" w:rsidRPr="00475AD1">
        <w:rPr>
          <w:rFonts w:asciiTheme="majorHAnsi" w:eastAsia="Times New Roman" w:hAnsiTheme="majorHAnsi" w:cs="Times New Roman"/>
          <w:color w:val="000000"/>
          <w:sz w:val="22"/>
          <w:szCs w:val="23"/>
          <w:lang w:eastAsia="en-AU"/>
        </w:rPr>
        <w:t xml:space="preserve"> part of the buffer to ensure they are able to control and maintain the vegetation within this setback. </w:t>
      </w:r>
      <w:r w:rsidRPr="00475AD1">
        <w:rPr>
          <w:rFonts w:asciiTheme="majorHAnsi" w:eastAsia="Times New Roman" w:hAnsiTheme="majorHAnsi" w:cs="Times New Roman"/>
          <w:color w:val="000000"/>
          <w:sz w:val="22"/>
          <w:szCs w:val="23"/>
          <w:lang w:eastAsia="en-AU"/>
        </w:rPr>
        <w:t xml:space="preserve">The Two Rivers vineyard is a </w:t>
      </w:r>
      <w:r w:rsidR="00D42DBD" w:rsidRPr="00475AD1">
        <w:rPr>
          <w:rFonts w:asciiTheme="majorHAnsi" w:eastAsia="Times New Roman" w:hAnsiTheme="majorHAnsi" w:cs="Times New Roman"/>
          <w:color w:val="000000"/>
          <w:sz w:val="22"/>
          <w:szCs w:val="23"/>
          <w:lang w:eastAsia="en-AU"/>
        </w:rPr>
        <w:t>long-term</w:t>
      </w:r>
      <w:r w:rsidRPr="00475AD1">
        <w:rPr>
          <w:rFonts w:asciiTheme="majorHAnsi" w:eastAsia="Times New Roman" w:hAnsiTheme="majorHAnsi" w:cs="Times New Roman"/>
          <w:color w:val="000000"/>
          <w:sz w:val="22"/>
          <w:szCs w:val="23"/>
          <w:lang w:eastAsia="en-AU"/>
        </w:rPr>
        <w:t xml:space="preserve"> member of the Denman community and an award winning winery. The opportunity to provide a large lot residential estate adjoining this established business is one that has been planned for many years and can be comfortably accommodated. A suitable plan of management will be provided for the winery and future subdivision to ensure they can coexist in the long term. There are many examples of successful rural residential vineyard estates in the Lower Hunter that are a testament to the popularity and success of this type of development. </w:t>
      </w:r>
    </w:p>
    <w:p w:rsidR="00475AD1" w:rsidRPr="00877A9D" w:rsidRDefault="00475AD1" w:rsidP="009420FB">
      <w:pPr>
        <w:spacing w:before="120" w:after="120"/>
        <w:jc w:val="both"/>
        <w:rPr>
          <w:rFonts w:asciiTheme="majorHAnsi" w:eastAsia="Times New Roman" w:hAnsiTheme="majorHAnsi" w:cs="Times New Roman"/>
          <w:color w:val="000000"/>
          <w:sz w:val="16"/>
          <w:szCs w:val="16"/>
          <w:lang w:eastAsia="en-AU"/>
        </w:rPr>
      </w:pPr>
    </w:p>
    <w:p w:rsidR="00475AD1" w:rsidRPr="00877A9D" w:rsidRDefault="00475AD1" w:rsidP="00877A9D">
      <w:pPr>
        <w:spacing w:before="240" w:after="120"/>
        <w:jc w:val="both"/>
        <w:rPr>
          <w:rFonts w:asciiTheme="majorHAnsi" w:eastAsia="Times New Roman" w:hAnsiTheme="majorHAnsi" w:cs="Times New Roman"/>
          <w:b/>
          <w:color w:val="000000"/>
          <w:sz w:val="22"/>
          <w:szCs w:val="22"/>
          <w:lang w:eastAsia="en-AU"/>
        </w:rPr>
      </w:pPr>
      <w:r w:rsidRPr="00475AD1">
        <w:rPr>
          <w:rFonts w:asciiTheme="majorHAnsi" w:eastAsia="Times New Roman" w:hAnsiTheme="majorHAnsi" w:cs="Times New Roman"/>
          <w:b/>
          <w:color w:val="000000"/>
          <w:sz w:val="22"/>
          <w:szCs w:val="22"/>
          <w:lang w:eastAsia="en-AU"/>
        </w:rPr>
        <w:lastRenderedPageBreak/>
        <w:t>Preliminary Contamination Assessment</w:t>
      </w:r>
    </w:p>
    <w:p w:rsidR="00475AD1" w:rsidRDefault="00475AD1" w:rsidP="001F02FD">
      <w:pPr>
        <w:widowControl w:val="0"/>
        <w:autoSpaceDE w:val="0"/>
        <w:autoSpaceDN w:val="0"/>
        <w:adjustRightInd w:val="0"/>
        <w:spacing w:after="0"/>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Robert </w:t>
      </w:r>
      <w:proofErr w:type="spellStart"/>
      <w:r>
        <w:rPr>
          <w:rFonts w:asciiTheme="majorHAnsi" w:eastAsia="Times New Roman" w:hAnsiTheme="majorHAnsi" w:cs="Times New Roman"/>
          <w:color w:val="000000"/>
          <w:sz w:val="22"/>
          <w:szCs w:val="22"/>
          <w:lang w:eastAsia="en-AU"/>
        </w:rPr>
        <w:t>Carr</w:t>
      </w:r>
      <w:proofErr w:type="spellEnd"/>
      <w:r>
        <w:rPr>
          <w:rFonts w:asciiTheme="majorHAnsi" w:eastAsia="Times New Roman" w:hAnsiTheme="majorHAnsi" w:cs="Times New Roman"/>
          <w:color w:val="000000"/>
          <w:sz w:val="22"/>
          <w:szCs w:val="22"/>
          <w:lang w:eastAsia="en-AU"/>
        </w:rPr>
        <w:t xml:space="preserve"> &amp; Associates (RCA) Australia prepared a Preliminary Contamination Assessment that is included in </w:t>
      </w:r>
      <w:r w:rsidRPr="005F7C8D">
        <w:rPr>
          <w:rFonts w:asciiTheme="majorHAnsi" w:eastAsia="Times New Roman" w:hAnsiTheme="majorHAnsi" w:cs="Times New Roman"/>
          <w:b/>
          <w:color w:val="000000"/>
          <w:sz w:val="22"/>
          <w:szCs w:val="22"/>
          <w:lang w:eastAsia="en-AU"/>
        </w:rPr>
        <w:t>Appendix 4</w:t>
      </w:r>
      <w:r>
        <w:rPr>
          <w:rFonts w:asciiTheme="majorHAnsi" w:eastAsia="Times New Roman" w:hAnsiTheme="majorHAnsi" w:cs="Times New Roman"/>
          <w:color w:val="000000"/>
          <w:sz w:val="22"/>
          <w:szCs w:val="22"/>
          <w:lang w:eastAsia="en-AU"/>
        </w:rPr>
        <w:t xml:space="preserve"> of this report.   The </w:t>
      </w:r>
      <w:r w:rsidRPr="00A36953">
        <w:rPr>
          <w:rFonts w:asciiTheme="majorHAnsi" w:eastAsia="Times New Roman" w:hAnsiTheme="majorHAnsi" w:cs="Times New Roman"/>
          <w:color w:val="000000"/>
          <w:sz w:val="22"/>
          <w:szCs w:val="22"/>
          <w:lang w:eastAsia="en-AU"/>
        </w:rPr>
        <w:t>investigation comprised a site history review, inspection and</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interview with site personnel and a limited soil and water sampling and analytical</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programme for the purposes of characterising the potential for contamination at the site.</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The site history review, inspection and interview indicated that potentially contaminating</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activities were limited to pesticide and herbicide use associated with grape growing,</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possible fertiliser use, some livestock aggregation areas and a possible petrol or diesel</w:t>
      </w:r>
      <w:r>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water pump.</w:t>
      </w:r>
    </w:p>
    <w:p w:rsidR="00475AD1" w:rsidRPr="00A36953" w:rsidRDefault="00475AD1" w:rsidP="00475AD1">
      <w:pPr>
        <w:widowControl w:val="0"/>
        <w:autoSpaceDE w:val="0"/>
        <w:autoSpaceDN w:val="0"/>
        <w:adjustRightInd w:val="0"/>
        <w:spacing w:after="0"/>
        <w:rPr>
          <w:rFonts w:asciiTheme="majorHAnsi" w:eastAsia="Times New Roman" w:hAnsiTheme="majorHAnsi" w:cs="Times New Roman"/>
          <w:color w:val="000000"/>
          <w:sz w:val="22"/>
          <w:szCs w:val="22"/>
          <w:lang w:eastAsia="en-AU"/>
        </w:rPr>
      </w:pPr>
    </w:p>
    <w:p w:rsidR="00475AD1" w:rsidRDefault="00475AD1" w:rsidP="001F02FD">
      <w:pPr>
        <w:widowControl w:val="0"/>
        <w:autoSpaceDE w:val="0"/>
        <w:autoSpaceDN w:val="0"/>
        <w:adjustRightInd w:val="0"/>
        <w:spacing w:after="0"/>
        <w:jc w:val="both"/>
        <w:rPr>
          <w:rFonts w:asciiTheme="majorHAnsi" w:eastAsia="Times New Roman" w:hAnsiTheme="majorHAnsi" w:cs="Times New Roman"/>
          <w:color w:val="000000"/>
          <w:sz w:val="22"/>
          <w:szCs w:val="22"/>
          <w:lang w:eastAsia="en-AU"/>
        </w:rPr>
      </w:pPr>
      <w:r w:rsidRPr="00A36953">
        <w:rPr>
          <w:rFonts w:asciiTheme="majorHAnsi" w:eastAsia="Times New Roman" w:hAnsiTheme="majorHAnsi" w:cs="Times New Roman"/>
          <w:color w:val="000000"/>
          <w:sz w:val="22"/>
          <w:szCs w:val="22"/>
          <w:lang w:eastAsia="en-AU"/>
        </w:rPr>
        <w:t>Soil samples were collected from ten (10) locations and water samples for the two (2)</w:t>
      </w:r>
      <w:r w:rsidR="006C7B49">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dams present on site. Interpretation of results found that:</w:t>
      </w:r>
    </w:p>
    <w:p w:rsidR="00475AD1" w:rsidRPr="00877A9D" w:rsidRDefault="00475AD1" w:rsidP="001F02FD">
      <w:pPr>
        <w:widowControl w:val="0"/>
        <w:autoSpaceDE w:val="0"/>
        <w:autoSpaceDN w:val="0"/>
        <w:adjustRightInd w:val="0"/>
        <w:spacing w:after="0"/>
        <w:jc w:val="both"/>
        <w:rPr>
          <w:rFonts w:asciiTheme="majorHAnsi" w:eastAsia="Times New Roman" w:hAnsiTheme="majorHAnsi" w:cs="Times New Roman"/>
          <w:color w:val="000000"/>
          <w:sz w:val="16"/>
          <w:szCs w:val="16"/>
          <w:lang w:eastAsia="en-AU"/>
        </w:rPr>
      </w:pPr>
    </w:p>
    <w:p w:rsidR="00475AD1" w:rsidRDefault="00475AD1" w:rsidP="001F02FD">
      <w:pPr>
        <w:pStyle w:val="ListParagraph"/>
        <w:widowControl w:val="0"/>
        <w:numPr>
          <w:ilvl w:val="0"/>
          <w:numId w:val="42"/>
        </w:numPr>
        <w:autoSpaceDE w:val="0"/>
        <w:autoSpaceDN w:val="0"/>
        <w:adjustRightInd w:val="0"/>
        <w:spacing w:after="0"/>
        <w:jc w:val="both"/>
        <w:rPr>
          <w:rFonts w:asciiTheme="majorHAnsi" w:eastAsia="Times New Roman" w:hAnsiTheme="majorHAnsi" w:cs="Times New Roman"/>
          <w:color w:val="000000"/>
          <w:sz w:val="22"/>
          <w:szCs w:val="22"/>
          <w:lang w:eastAsia="en-AU"/>
        </w:rPr>
      </w:pPr>
      <w:r w:rsidRPr="00475AD1">
        <w:rPr>
          <w:rFonts w:asciiTheme="majorHAnsi" w:eastAsia="Times New Roman" w:hAnsiTheme="majorHAnsi" w:cs="Times New Roman"/>
          <w:color w:val="000000"/>
          <w:sz w:val="22"/>
          <w:szCs w:val="22"/>
          <w:lang w:eastAsia="en-AU"/>
        </w:rPr>
        <w:t>Zinc was identified at one soil sample location in excess of ecological criteria but well within human health criteria. The source of the zinc is unknown, however is not considered a contamination concern for the proposed development. It is recommended that the range of zinc concentrations in soil be considered when selecting landscaping plant species.</w:t>
      </w:r>
    </w:p>
    <w:p w:rsidR="00475AD1" w:rsidRPr="00877A9D" w:rsidRDefault="00475AD1" w:rsidP="001F02FD">
      <w:pPr>
        <w:pStyle w:val="ListParagraph"/>
        <w:widowControl w:val="0"/>
        <w:autoSpaceDE w:val="0"/>
        <w:autoSpaceDN w:val="0"/>
        <w:adjustRightInd w:val="0"/>
        <w:spacing w:after="0"/>
        <w:jc w:val="both"/>
        <w:rPr>
          <w:rFonts w:asciiTheme="majorHAnsi" w:eastAsia="Times New Roman" w:hAnsiTheme="majorHAnsi" w:cs="Times New Roman"/>
          <w:color w:val="000000"/>
          <w:sz w:val="16"/>
          <w:szCs w:val="16"/>
          <w:lang w:eastAsia="en-AU"/>
        </w:rPr>
      </w:pPr>
    </w:p>
    <w:p w:rsidR="00475AD1" w:rsidRPr="00475AD1" w:rsidRDefault="00475AD1" w:rsidP="001F02FD">
      <w:pPr>
        <w:pStyle w:val="ListParagraph"/>
        <w:widowControl w:val="0"/>
        <w:numPr>
          <w:ilvl w:val="0"/>
          <w:numId w:val="42"/>
        </w:numPr>
        <w:autoSpaceDE w:val="0"/>
        <w:autoSpaceDN w:val="0"/>
        <w:adjustRightInd w:val="0"/>
        <w:spacing w:after="0"/>
        <w:jc w:val="both"/>
        <w:rPr>
          <w:rFonts w:ascii="ArialMT" w:hAnsi="ArialMT" w:cs="ArialMT"/>
          <w:sz w:val="22"/>
          <w:szCs w:val="22"/>
          <w:lang w:val="en-US"/>
        </w:rPr>
      </w:pPr>
      <w:r w:rsidRPr="00475AD1">
        <w:rPr>
          <w:rFonts w:asciiTheme="majorHAnsi" w:eastAsia="Times New Roman" w:hAnsiTheme="majorHAnsi" w:cs="Times New Roman"/>
          <w:color w:val="000000"/>
          <w:sz w:val="22"/>
          <w:szCs w:val="22"/>
          <w:lang w:eastAsia="en-AU"/>
        </w:rPr>
        <w:t>Boron and copper were measured in concentrations in excess of the ecological criteria but well within human health criteria</w:t>
      </w:r>
      <w:r w:rsidRPr="00475AD1">
        <w:rPr>
          <w:rFonts w:ascii="ArialMT" w:hAnsi="ArialMT" w:cs="ArialMT"/>
          <w:sz w:val="22"/>
          <w:szCs w:val="22"/>
          <w:lang w:val="en-US"/>
        </w:rPr>
        <w:t xml:space="preserve"> </w:t>
      </w:r>
      <w:r w:rsidRPr="00475AD1">
        <w:rPr>
          <w:rFonts w:asciiTheme="majorHAnsi" w:eastAsia="Times New Roman" w:hAnsiTheme="majorHAnsi" w:cs="Times New Roman"/>
          <w:color w:val="000000"/>
          <w:sz w:val="22"/>
          <w:szCs w:val="22"/>
          <w:lang w:eastAsia="en-AU"/>
        </w:rPr>
        <w:t>and RCA considers that they do not present as</w:t>
      </w:r>
      <w:r>
        <w:rPr>
          <w:rFonts w:asciiTheme="majorHAnsi" w:eastAsia="Times New Roman" w:hAnsiTheme="majorHAnsi" w:cs="Times New Roman"/>
          <w:color w:val="000000"/>
          <w:sz w:val="22"/>
          <w:szCs w:val="22"/>
          <w:lang w:eastAsia="en-AU"/>
        </w:rPr>
        <w:t xml:space="preserve"> </w:t>
      </w:r>
      <w:r w:rsidRPr="00475AD1">
        <w:rPr>
          <w:rFonts w:asciiTheme="majorHAnsi" w:eastAsia="Times New Roman" w:hAnsiTheme="majorHAnsi" w:cs="Times New Roman"/>
          <w:color w:val="000000"/>
          <w:sz w:val="22"/>
          <w:szCs w:val="22"/>
          <w:lang w:eastAsia="en-AU"/>
        </w:rPr>
        <w:t>contamination concerns to the proposed development. RCA recommends that consideration be given to water quality during design and construction of the development, and should the dams be filled, ensure that there is no discharge to aquatic ecosystems.</w:t>
      </w:r>
    </w:p>
    <w:p w:rsidR="00475AD1" w:rsidRDefault="00475AD1" w:rsidP="001F02FD">
      <w:pPr>
        <w:widowControl w:val="0"/>
        <w:autoSpaceDE w:val="0"/>
        <w:autoSpaceDN w:val="0"/>
        <w:adjustRightInd w:val="0"/>
        <w:spacing w:after="0"/>
        <w:jc w:val="both"/>
        <w:rPr>
          <w:rFonts w:asciiTheme="majorHAnsi" w:eastAsia="Times New Roman" w:hAnsiTheme="majorHAnsi" w:cs="Times New Roman"/>
          <w:color w:val="000000"/>
          <w:sz w:val="22"/>
          <w:szCs w:val="22"/>
          <w:lang w:eastAsia="en-AU"/>
        </w:rPr>
      </w:pPr>
    </w:p>
    <w:p w:rsidR="00475AD1" w:rsidRPr="009420FB" w:rsidRDefault="00475AD1" w:rsidP="006C7B49">
      <w:pPr>
        <w:widowControl w:val="0"/>
        <w:autoSpaceDE w:val="0"/>
        <w:autoSpaceDN w:val="0"/>
        <w:adjustRightInd w:val="0"/>
        <w:spacing w:after="0"/>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The investigation found that the site has</w:t>
      </w:r>
      <w:r w:rsidRPr="00A36953">
        <w:rPr>
          <w:rFonts w:asciiTheme="majorHAnsi" w:eastAsia="Times New Roman" w:hAnsiTheme="majorHAnsi" w:cs="Times New Roman"/>
          <w:color w:val="000000"/>
          <w:sz w:val="22"/>
          <w:szCs w:val="22"/>
          <w:lang w:eastAsia="en-AU"/>
        </w:rPr>
        <w:t xml:space="preserve"> been adequately characterised and is suitable for th</w:t>
      </w:r>
      <w:r>
        <w:rPr>
          <w:rFonts w:asciiTheme="majorHAnsi" w:eastAsia="Times New Roman" w:hAnsiTheme="majorHAnsi" w:cs="Times New Roman"/>
          <w:color w:val="000000"/>
          <w:sz w:val="22"/>
          <w:szCs w:val="22"/>
          <w:lang w:eastAsia="en-AU"/>
        </w:rPr>
        <w:t xml:space="preserve">e </w:t>
      </w:r>
      <w:r w:rsidRPr="00A36953">
        <w:rPr>
          <w:rFonts w:asciiTheme="majorHAnsi" w:eastAsia="Times New Roman" w:hAnsiTheme="majorHAnsi" w:cs="Times New Roman"/>
          <w:color w:val="000000"/>
          <w:sz w:val="22"/>
          <w:szCs w:val="22"/>
          <w:lang w:eastAsia="en-AU"/>
        </w:rPr>
        <w:t>proposed change in land use. Notification under the NSW Contaminated Land</w:t>
      </w:r>
      <w:r w:rsidR="006C7B49">
        <w:rPr>
          <w:rFonts w:asciiTheme="majorHAnsi" w:eastAsia="Times New Roman" w:hAnsiTheme="majorHAnsi" w:cs="Times New Roman"/>
          <w:color w:val="000000"/>
          <w:sz w:val="22"/>
          <w:szCs w:val="22"/>
          <w:lang w:eastAsia="en-AU"/>
        </w:rPr>
        <w:t xml:space="preserve"> </w:t>
      </w:r>
      <w:r w:rsidRPr="00A36953">
        <w:rPr>
          <w:rFonts w:asciiTheme="majorHAnsi" w:eastAsia="Times New Roman" w:hAnsiTheme="majorHAnsi" w:cs="Times New Roman"/>
          <w:color w:val="000000"/>
          <w:sz w:val="22"/>
          <w:szCs w:val="22"/>
          <w:lang w:eastAsia="en-AU"/>
        </w:rPr>
        <w:t>Management Act is not considered necessary.</w:t>
      </w:r>
    </w:p>
    <w:p w:rsidR="001F02FD" w:rsidRDefault="001F02FD" w:rsidP="005813CD">
      <w:pPr>
        <w:spacing w:before="240" w:after="240" w:line="280" w:lineRule="exact"/>
        <w:contextualSpacing/>
        <w:jc w:val="both"/>
        <w:rPr>
          <w:rFonts w:asciiTheme="majorHAnsi" w:eastAsia="Times New Roman" w:hAnsiTheme="majorHAnsi" w:cs="Times New Roman"/>
          <w:b/>
          <w:i/>
          <w:color w:val="000000"/>
          <w:sz w:val="23"/>
          <w:szCs w:val="23"/>
          <w:lang w:eastAsia="en-AU"/>
        </w:rPr>
      </w:pPr>
    </w:p>
    <w:p w:rsidR="004F3070" w:rsidRPr="006C7B49" w:rsidRDefault="009757DA" w:rsidP="006C7B49">
      <w:pPr>
        <w:spacing w:before="360" w:after="240" w:line="280" w:lineRule="exact"/>
        <w:jc w:val="both"/>
        <w:rPr>
          <w:rFonts w:ascii="Trebuchet MS" w:eastAsia="Times New Roman" w:hAnsi="Trebuchet MS" w:cs="Times New Roman"/>
          <w:color w:val="000000"/>
          <w:sz w:val="19"/>
          <w:lang w:eastAsia="en-AU"/>
        </w:rPr>
      </w:pPr>
      <w:r w:rsidRPr="009420FB">
        <w:rPr>
          <w:rFonts w:asciiTheme="majorHAnsi" w:eastAsia="Times New Roman" w:hAnsiTheme="majorHAnsi" w:cs="Times New Roman"/>
          <w:b/>
          <w:i/>
          <w:color w:val="000000"/>
          <w:sz w:val="23"/>
          <w:szCs w:val="23"/>
          <w:lang w:eastAsia="en-AU"/>
        </w:rPr>
        <w:t xml:space="preserve">How has the </w:t>
      </w:r>
      <w:r w:rsidR="006C7B49">
        <w:rPr>
          <w:rFonts w:asciiTheme="majorHAnsi" w:eastAsia="Times New Roman" w:hAnsiTheme="majorHAnsi" w:cs="Times New Roman"/>
          <w:b/>
          <w:i/>
          <w:color w:val="000000"/>
          <w:sz w:val="23"/>
          <w:szCs w:val="23"/>
          <w:lang w:eastAsia="en-AU"/>
        </w:rPr>
        <w:t>Planning Proposal</w:t>
      </w:r>
      <w:r w:rsidRPr="009420FB">
        <w:rPr>
          <w:rFonts w:asciiTheme="majorHAnsi" w:eastAsia="Times New Roman" w:hAnsiTheme="majorHAnsi" w:cs="Times New Roman"/>
          <w:b/>
          <w:i/>
          <w:color w:val="000000"/>
          <w:sz w:val="23"/>
          <w:szCs w:val="23"/>
          <w:lang w:eastAsia="en-AU"/>
        </w:rPr>
        <w:t xml:space="preserve"> adequately addressed any social and economic effects? </w:t>
      </w:r>
    </w:p>
    <w:p w:rsidR="005813CD" w:rsidRDefault="009757DA" w:rsidP="009420FB">
      <w:pPr>
        <w:spacing w:before="240" w:after="240"/>
        <w:contextualSpacing/>
        <w:jc w:val="both"/>
        <w:rPr>
          <w:rFonts w:asciiTheme="majorHAnsi" w:eastAsia="Times New Roman" w:hAnsiTheme="majorHAnsi" w:cs="Times New Roman"/>
          <w:color w:val="000000"/>
          <w:sz w:val="22"/>
          <w:szCs w:val="22"/>
          <w:lang w:eastAsia="en-AU"/>
        </w:rPr>
      </w:pPr>
      <w:r w:rsidRPr="009420FB">
        <w:rPr>
          <w:rFonts w:asciiTheme="majorHAnsi" w:eastAsia="Times New Roman" w:hAnsiTheme="majorHAnsi" w:cs="Times New Roman"/>
          <w:color w:val="000000"/>
          <w:sz w:val="22"/>
          <w:szCs w:val="22"/>
          <w:lang w:eastAsia="en-AU"/>
        </w:rPr>
        <w:t xml:space="preserve">The </w:t>
      </w:r>
      <w:r w:rsidR="006C7B49">
        <w:rPr>
          <w:rFonts w:asciiTheme="majorHAnsi" w:eastAsia="Times New Roman" w:hAnsiTheme="majorHAnsi" w:cs="Times New Roman"/>
          <w:color w:val="000000"/>
          <w:sz w:val="22"/>
          <w:szCs w:val="22"/>
          <w:lang w:eastAsia="en-AU"/>
        </w:rPr>
        <w:t>Planning Proposal</w:t>
      </w:r>
      <w:r w:rsidRPr="009420FB">
        <w:rPr>
          <w:rFonts w:asciiTheme="majorHAnsi" w:eastAsia="Times New Roman" w:hAnsiTheme="majorHAnsi" w:cs="Times New Roman"/>
          <w:color w:val="000000"/>
          <w:sz w:val="22"/>
          <w:szCs w:val="22"/>
          <w:lang w:eastAsia="en-AU"/>
        </w:rPr>
        <w:t xml:space="preserve"> has also given consideration to introducing an alternative source of large lot residential land in the Denman area, separate to that which may be provided in the future by identified urban release areas. The land proposed under this application has unique scenic and location attributes that differentiate it from other land available in Denman. The introduction of this specific land is in the interest of the public to provide competition in the market, which provides choice and drives down prices. </w:t>
      </w:r>
      <w:r w:rsidR="000E275D" w:rsidRPr="009420FB">
        <w:rPr>
          <w:rFonts w:asciiTheme="majorHAnsi" w:eastAsia="Times New Roman" w:hAnsiTheme="majorHAnsi" w:cs="Times New Roman"/>
          <w:color w:val="000000"/>
          <w:sz w:val="22"/>
          <w:szCs w:val="22"/>
          <w:lang w:eastAsia="en-AU"/>
        </w:rPr>
        <w:t>This is consistent with the findings of the MRRRS</w:t>
      </w:r>
      <w:r w:rsidR="006C7B49">
        <w:rPr>
          <w:rFonts w:asciiTheme="majorHAnsi" w:eastAsia="Times New Roman" w:hAnsiTheme="majorHAnsi" w:cs="Times New Roman"/>
          <w:color w:val="000000"/>
          <w:sz w:val="22"/>
          <w:szCs w:val="22"/>
          <w:lang w:eastAsia="en-AU"/>
        </w:rPr>
        <w:t>.</w:t>
      </w:r>
      <w:r w:rsidR="000E275D" w:rsidRPr="009420FB">
        <w:rPr>
          <w:rFonts w:asciiTheme="majorHAnsi" w:eastAsia="Times New Roman" w:hAnsiTheme="majorHAnsi" w:cs="Times New Roman"/>
          <w:color w:val="000000"/>
          <w:sz w:val="22"/>
          <w:szCs w:val="22"/>
          <w:lang w:eastAsia="en-AU"/>
        </w:rPr>
        <w:t xml:space="preserve"> </w:t>
      </w:r>
      <w:r w:rsidRPr="009420FB">
        <w:rPr>
          <w:rFonts w:asciiTheme="majorHAnsi" w:eastAsia="Times New Roman" w:hAnsiTheme="majorHAnsi" w:cs="Times New Roman"/>
          <w:color w:val="000000"/>
          <w:sz w:val="22"/>
          <w:szCs w:val="22"/>
          <w:lang w:eastAsia="en-AU"/>
        </w:rPr>
        <w:t xml:space="preserve">Support for this </w:t>
      </w:r>
      <w:r w:rsidR="006C7B49">
        <w:rPr>
          <w:rFonts w:asciiTheme="majorHAnsi" w:eastAsia="Times New Roman" w:hAnsiTheme="majorHAnsi" w:cs="Times New Roman"/>
          <w:color w:val="000000"/>
          <w:sz w:val="22"/>
          <w:szCs w:val="22"/>
          <w:lang w:eastAsia="en-AU"/>
        </w:rPr>
        <w:t>Planning Proposal</w:t>
      </w:r>
      <w:r w:rsidR="004F3070" w:rsidRPr="009420FB">
        <w:rPr>
          <w:rFonts w:asciiTheme="majorHAnsi" w:eastAsia="Times New Roman" w:hAnsiTheme="majorHAnsi" w:cs="Times New Roman"/>
          <w:color w:val="000000"/>
          <w:sz w:val="22"/>
          <w:szCs w:val="22"/>
          <w:lang w:eastAsia="en-AU"/>
        </w:rPr>
        <w:t xml:space="preserve"> </w:t>
      </w:r>
      <w:r w:rsidRPr="009420FB">
        <w:rPr>
          <w:rFonts w:asciiTheme="majorHAnsi" w:eastAsia="Times New Roman" w:hAnsiTheme="majorHAnsi" w:cs="Times New Roman"/>
          <w:color w:val="000000"/>
          <w:sz w:val="22"/>
          <w:szCs w:val="22"/>
          <w:lang w:eastAsia="en-AU"/>
        </w:rPr>
        <w:t xml:space="preserve">would not have any adverse social effects and is of minor significance. The future development of the site will attract Section 94 </w:t>
      </w:r>
      <w:r w:rsidR="00D42DBD" w:rsidRPr="009420FB">
        <w:rPr>
          <w:rFonts w:asciiTheme="majorHAnsi" w:eastAsia="Times New Roman" w:hAnsiTheme="majorHAnsi" w:cs="Times New Roman"/>
          <w:color w:val="000000"/>
          <w:sz w:val="22"/>
          <w:szCs w:val="22"/>
          <w:lang w:eastAsia="en-AU"/>
        </w:rPr>
        <w:t>Contributions that</w:t>
      </w:r>
      <w:r w:rsidRPr="009420FB">
        <w:rPr>
          <w:rFonts w:asciiTheme="majorHAnsi" w:eastAsia="Times New Roman" w:hAnsiTheme="majorHAnsi" w:cs="Times New Roman"/>
          <w:color w:val="000000"/>
          <w:sz w:val="22"/>
          <w:szCs w:val="22"/>
          <w:lang w:eastAsia="en-AU"/>
        </w:rPr>
        <w:t xml:space="preserve"> will assist in providing additional community facilities for the population. The development will not have any adverse contribution to the social or economic wellbeing of residents in the vicinity of the site or wider community. </w:t>
      </w:r>
    </w:p>
    <w:p w:rsidR="008B3B98" w:rsidRDefault="008B3B98" w:rsidP="009420FB">
      <w:pPr>
        <w:spacing w:before="240" w:after="240"/>
        <w:contextualSpacing/>
        <w:jc w:val="both"/>
        <w:rPr>
          <w:rFonts w:asciiTheme="majorHAnsi" w:eastAsia="Times New Roman" w:hAnsiTheme="majorHAnsi" w:cs="Times New Roman"/>
          <w:color w:val="000000"/>
          <w:sz w:val="22"/>
          <w:szCs w:val="22"/>
          <w:lang w:eastAsia="en-AU"/>
        </w:rPr>
      </w:pPr>
    </w:p>
    <w:p w:rsidR="002E67C0" w:rsidRDefault="002E67C0" w:rsidP="005941A9">
      <w:pPr>
        <w:keepLines/>
        <w:spacing w:after="0"/>
        <w:jc w:val="both"/>
        <w:rPr>
          <w:rFonts w:ascii="Trebuchet MS" w:eastAsia="Times New Roman" w:hAnsi="Trebuchet MS" w:cs="Arial"/>
          <w:b/>
          <w:sz w:val="22"/>
          <w:szCs w:val="22"/>
          <w:lang w:eastAsia="en-AU"/>
        </w:rPr>
      </w:pPr>
    </w:p>
    <w:p w:rsidR="005813CD" w:rsidRPr="005941A9" w:rsidRDefault="009757DA" w:rsidP="005941A9">
      <w:pPr>
        <w:keepLines/>
        <w:spacing w:after="0"/>
        <w:jc w:val="both"/>
        <w:rPr>
          <w:rFonts w:ascii="Trebuchet MS" w:eastAsia="Times New Roman" w:hAnsi="Trebuchet MS" w:cs="Arial"/>
          <w:b/>
          <w:sz w:val="22"/>
          <w:szCs w:val="22"/>
          <w:lang w:eastAsia="en-AU"/>
        </w:rPr>
      </w:pPr>
      <w:r w:rsidRPr="005941A9">
        <w:rPr>
          <w:rFonts w:ascii="Trebuchet MS" w:eastAsia="Times New Roman" w:hAnsi="Trebuchet MS" w:cs="Arial"/>
          <w:b/>
          <w:sz w:val="22"/>
          <w:szCs w:val="22"/>
          <w:lang w:eastAsia="en-AU"/>
        </w:rPr>
        <w:t>3.3.4</w:t>
      </w:r>
      <w:r w:rsidRPr="005941A9">
        <w:rPr>
          <w:rFonts w:ascii="Trebuchet MS" w:eastAsia="Times New Roman" w:hAnsi="Trebuchet MS" w:cs="Arial"/>
          <w:b/>
          <w:sz w:val="22"/>
          <w:szCs w:val="22"/>
          <w:lang w:eastAsia="en-AU"/>
        </w:rPr>
        <w:tab/>
        <w:t>Sect</w:t>
      </w:r>
      <w:bookmarkStart w:id="10" w:name="Sec_D"/>
      <w:bookmarkEnd w:id="10"/>
      <w:r w:rsidRPr="005941A9">
        <w:rPr>
          <w:rFonts w:ascii="Trebuchet MS" w:eastAsia="Times New Roman" w:hAnsi="Trebuchet MS" w:cs="Arial"/>
          <w:b/>
          <w:sz w:val="22"/>
          <w:szCs w:val="22"/>
          <w:lang w:eastAsia="en-AU"/>
        </w:rPr>
        <w:t>ion</w:t>
      </w:r>
      <w:r w:rsidR="005941A9">
        <w:rPr>
          <w:rFonts w:ascii="Trebuchet MS" w:eastAsia="Times New Roman" w:hAnsi="Trebuchet MS" w:cs="Arial"/>
          <w:b/>
          <w:sz w:val="22"/>
          <w:szCs w:val="22"/>
          <w:lang w:eastAsia="en-AU"/>
        </w:rPr>
        <w:t xml:space="preserve"> D —</w:t>
      </w:r>
      <w:r w:rsidRPr="005941A9">
        <w:rPr>
          <w:rFonts w:ascii="Trebuchet MS" w:eastAsia="Times New Roman" w:hAnsi="Trebuchet MS" w:cs="Arial"/>
          <w:b/>
          <w:sz w:val="22"/>
          <w:szCs w:val="22"/>
          <w:lang w:eastAsia="en-AU"/>
        </w:rPr>
        <w:t xml:space="preserve"> State and Commonwealth interests</w:t>
      </w:r>
    </w:p>
    <w:p w:rsidR="009757DA" w:rsidRPr="005813CD" w:rsidRDefault="009757DA" w:rsidP="005813CD">
      <w:pPr>
        <w:spacing w:before="240" w:after="240" w:line="280" w:lineRule="exact"/>
        <w:contextualSpacing/>
        <w:jc w:val="both"/>
        <w:rPr>
          <w:rFonts w:ascii="Trebuchet MS" w:eastAsia="Times New Roman" w:hAnsi="Trebuchet MS" w:cs="Times New Roman"/>
          <w:color w:val="000000"/>
          <w:sz w:val="19"/>
          <w:lang w:eastAsia="en-AU"/>
        </w:rPr>
      </w:pPr>
    </w:p>
    <w:p w:rsidR="009757DA" w:rsidRPr="009420FB" w:rsidRDefault="009757DA" w:rsidP="009420FB">
      <w:pPr>
        <w:spacing w:before="240" w:after="240" w:line="280" w:lineRule="exact"/>
        <w:contextualSpacing/>
        <w:rPr>
          <w:rFonts w:asciiTheme="majorHAnsi" w:eastAsia="Times New Roman" w:hAnsiTheme="majorHAnsi" w:cs="Times New Roman"/>
          <w:b/>
          <w:i/>
          <w:color w:val="000000"/>
          <w:sz w:val="23"/>
          <w:szCs w:val="23"/>
          <w:lang w:eastAsia="en-AU"/>
        </w:rPr>
      </w:pPr>
      <w:r w:rsidRPr="009420FB">
        <w:rPr>
          <w:rFonts w:asciiTheme="majorHAnsi" w:eastAsia="Times New Roman" w:hAnsiTheme="majorHAnsi" w:cs="Times New Roman"/>
          <w:b/>
          <w:i/>
          <w:color w:val="000000"/>
          <w:sz w:val="23"/>
          <w:szCs w:val="23"/>
          <w:lang w:eastAsia="en-AU"/>
        </w:rPr>
        <w:t xml:space="preserve">Is there adequate public infrastructure for the </w:t>
      </w:r>
      <w:r w:rsidR="006C7B49">
        <w:rPr>
          <w:rFonts w:asciiTheme="majorHAnsi" w:eastAsia="Times New Roman" w:hAnsiTheme="majorHAnsi" w:cs="Times New Roman"/>
          <w:b/>
          <w:i/>
          <w:color w:val="000000"/>
          <w:sz w:val="23"/>
          <w:szCs w:val="23"/>
          <w:lang w:eastAsia="en-AU"/>
        </w:rPr>
        <w:t>Planning Proposal</w:t>
      </w:r>
      <w:r w:rsidRPr="009420FB">
        <w:rPr>
          <w:rFonts w:asciiTheme="majorHAnsi" w:eastAsia="Times New Roman" w:hAnsiTheme="majorHAnsi" w:cs="Times New Roman"/>
          <w:b/>
          <w:i/>
          <w:color w:val="000000"/>
          <w:sz w:val="23"/>
          <w:szCs w:val="23"/>
          <w:lang w:eastAsia="en-AU"/>
        </w:rPr>
        <w:t xml:space="preserve">? </w:t>
      </w:r>
    </w:p>
    <w:p w:rsidR="004F3070" w:rsidRPr="009420FB" w:rsidRDefault="004F3070" w:rsidP="005813CD">
      <w:pPr>
        <w:spacing w:before="240" w:after="240" w:line="280" w:lineRule="exact"/>
        <w:contextualSpacing/>
        <w:jc w:val="both"/>
        <w:rPr>
          <w:rFonts w:asciiTheme="majorHAnsi" w:eastAsia="Times New Roman" w:hAnsiTheme="majorHAnsi" w:cs="Times New Roman"/>
          <w:b/>
          <w:i/>
          <w:color w:val="000000"/>
          <w:sz w:val="22"/>
          <w:szCs w:val="22"/>
          <w:lang w:eastAsia="en-AU"/>
        </w:rPr>
      </w:pPr>
    </w:p>
    <w:p w:rsidR="005813CD" w:rsidRPr="009420FB" w:rsidRDefault="000E275D" w:rsidP="009420FB">
      <w:pPr>
        <w:spacing w:before="240" w:after="240"/>
        <w:contextualSpacing/>
        <w:jc w:val="both"/>
        <w:rPr>
          <w:rFonts w:asciiTheme="majorHAnsi" w:eastAsia="Times New Roman" w:hAnsiTheme="majorHAnsi" w:cs="Times New Roman"/>
          <w:color w:val="000000"/>
          <w:sz w:val="22"/>
          <w:szCs w:val="22"/>
          <w:lang w:eastAsia="en-AU"/>
        </w:rPr>
      </w:pPr>
      <w:r w:rsidRPr="009420FB">
        <w:rPr>
          <w:rFonts w:asciiTheme="majorHAnsi" w:eastAsia="Times New Roman" w:hAnsiTheme="majorHAnsi" w:cs="Times New Roman"/>
          <w:color w:val="000000"/>
          <w:sz w:val="22"/>
          <w:szCs w:val="22"/>
          <w:lang w:eastAsia="en-AU"/>
        </w:rPr>
        <w:t xml:space="preserve">As discussed earlier in this proposal, the MRRRS identifies the Waebron site as the preferred sequenced candidate area for Denman and clearly states there are no infrastructure impediments to development.  </w:t>
      </w:r>
      <w:r w:rsidR="00D42DBD" w:rsidRPr="009420FB">
        <w:rPr>
          <w:rFonts w:asciiTheme="majorHAnsi" w:eastAsia="Times New Roman" w:hAnsiTheme="majorHAnsi" w:cs="Times New Roman"/>
          <w:color w:val="000000"/>
          <w:sz w:val="22"/>
          <w:szCs w:val="22"/>
          <w:lang w:eastAsia="en-AU"/>
        </w:rPr>
        <w:t xml:space="preserve">The site is strategically positioned on the edge of Denman </w:t>
      </w:r>
      <w:r w:rsidR="00D42DBD" w:rsidRPr="009420FB">
        <w:rPr>
          <w:rFonts w:asciiTheme="majorHAnsi" w:eastAsia="Times New Roman" w:hAnsiTheme="majorHAnsi" w:cs="Times New Roman"/>
          <w:color w:val="000000"/>
          <w:sz w:val="22"/>
          <w:szCs w:val="22"/>
          <w:lang w:eastAsia="en-AU"/>
        </w:rPr>
        <w:lastRenderedPageBreak/>
        <w:t xml:space="preserve">village close to all existing services. </w:t>
      </w:r>
      <w:r w:rsidRPr="009420FB">
        <w:rPr>
          <w:rFonts w:asciiTheme="majorHAnsi" w:eastAsia="Times New Roman" w:hAnsiTheme="majorHAnsi" w:cs="Times New Roman"/>
          <w:color w:val="000000"/>
          <w:sz w:val="22"/>
          <w:szCs w:val="22"/>
          <w:lang w:eastAsia="en-AU"/>
        </w:rPr>
        <w:t xml:space="preserve">Consideration of services availability within the MRRRS (see MRRRS Appendix 4) identified no constraints for Waebron.  For water an extension of the existing service is required with no major upgrade.  For sewer, connection to the existing network is available, although not necessarily required. For roads an extension of the local road network would be provided to access the development. For stormwater a detailed design will be undertaken at the future development stage, which would ensure no localised flooding impacts. The site can be serviced by electricity and telecommunications and further details on these issues would be provided at the development application stage. </w:t>
      </w:r>
    </w:p>
    <w:p w:rsidR="000E275D" w:rsidRPr="009420FB" w:rsidRDefault="000E275D" w:rsidP="005813CD">
      <w:pPr>
        <w:spacing w:before="240" w:after="240" w:line="280" w:lineRule="exact"/>
        <w:contextualSpacing/>
        <w:jc w:val="both"/>
        <w:rPr>
          <w:rFonts w:asciiTheme="majorHAnsi" w:eastAsia="Times New Roman" w:hAnsiTheme="majorHAnsi" w:cs="Times New Roman"/>
          <w:color w:val="000000"/>
          <w:sz w:val="22"/>
          <w:szCs w:val="22"/>
          <w:lang w:eastAsia="en-AU"/>
        </w:rPr>
      </w:pPr>
    </w:p>
    <w:p w:rsidR="005C3C96" w:rsidRDefault="001C0DC0" w:rsidP="001F02FD">
      <w:pPr>
        <w:spacing w:before="240" w:after="240" w:line="280" w:lineRule="exact"/>
        <w:contextualSpacing/>
        <w:jc w:val="both"/>
        <w:rPr>
          <w:rFonts w:asciiTheme="majorHAnsi" w:eastAsia="Times New Roman" w:hAnsiTheme="majorHAnsi" w:cs="Times New Roman"/>
          <w:color w:val="000000"/>
          <w:sz w:val="22"/>
          <w:szCs w:val="22"/>
          <w:lang w:eastAsia="en-AU"/>
        </w:rPr>
      </w:pPr>
      <w:r w:rsidRPr="001C0DC0">
        <w:rPr>
          <w:rFonts w:asciiTheme="majorHAnsi" w:eastAsia="Times New Roman" w:hAnsiTheme="majorHAnsi" w:cs="Times New Roman"/>
          <w:color w:val="000000"/>
          <w:sz w:val="22"/>
          <w:szCs w:val="22"/>
          <w:lang w:eastAsia="en-AU"/>
        </w:rPr>
        <w:t>A</w:t>
      </w:r>
      <w:r>
        <w:rPr>
          <w:rFonts w:asciiTheme="majorHAnsi" w:eastAsia="Times New Roman" w:hAnsiTheme="majorHAnsi" w:cs="Times New Roman"/>
          <w:color w:val="000000"/>
          <w:sz w:val="22"/>
          <w:szCs w:val="22"/>
          <w:lang w:eastAsia="en-AU"/>
        </w:rPr>
        <w:t>n</w:t>
      </w:r>
      <w:r w:rsidRPr="001C0DC0">
        <w:rPr>
          <w:rFonts w:asciiTheme="majorHAnsi" w:eastAsia="Times New Roman" w:hAnsiTheme="majorHAnsi" w:cs="Times New Roman"/>
          <w:color w:val="000000"/>
          <w:sz w:val="22"/>
          <w:szCs w:val="22"/>
          <w:lang w:eastAsia="en-AU"/>
        </w:rPr>
        <w:t xml:space="preserve"> Engineering Services Report has been prepared</w:t>
      </w:r>
      <w:r>
        <w:rPr>
          <w:rFonts w:asciiTheme="majorHAnsi" w:eastAsia="Times New Roman" w:hAnsiTheme="majorHAnsi" w:cs="Times New Roman"/>
          <w:color w:val="000000"/>
          <w:sz w:val="22"/>
          <w:szCs w:val="22"/>
          <w:lang w:eastAsia="en-AU"/>
        </w:rPr>
        <w:t xml:space="preserve"> </w:t>
      </w:r>
      <w:r w:rsidR="001165A8">
        <w:rPr>
          <w:rFonts w:asciiTheme="majorHAnsi" w:eastAsia="Times New Roman" w:hAnsiTheme="majorHAnsi" w:cs="Times New Roman"/>
          <w:color w:val="000000"/>
          <w:sz w:val="22"/>
          <w:szCs w:val="22"/>
          <w:lang w:eastAsia="en-AU"/>
        </w:rPr>
        <w:t xml:space="preserve">which confirms that, subject to future detailed design and upgrades, there are no impediments to the future servicing of the site by reticulated water and sewer.  The report further identifies a potential road network, service easements and stormwater management system for the concept layout.  Although the engineering services report is preliminary only it provides sufficient details to confirm that the site can be adequately serviced.    </w:t>
      </w:r>
    </w:p>
    <w:p w:rsidR="005C3C96" w:rsidRDefault="005C3C96" w:rsidP="001F02FD">
      <w:pPr>
        <w:spacing w:before="240" w:after="240" w:line="280" w:lineRule="exact"/>
        <w:contextualSpacing/>
        <w:jc w:val="both"/>
        <w:rPr>
          <w:rFonts w:asciiTheme="majorHAnsi" w:eastAsia="Times New Roman" w:hAnsiTheme="majorHAnsi" w:cs="Times New Roman"/>
          <w:color w:val="000000"/>
          <w:sz w:val="22"/>
          <w:szCs w:val="22"/>
          <w:lang w:eastAsia="en-AU"/>
        </w:rPr>
      </w:pPr>
    </w:p>
    <w:p w:rsidR="001165A8" w:rsidRDefault="005C3C96" w:rsidP="001F02FD">
      <w:pPr>
        <w:spacing w:before="240" w:after="240" w:line="280" w:lineRule="exact"/>
        <w:contextualSpacing/>
        <w:jc w:val="both"/>
        <w:rPr>
          <w:rFonts w:asciiTheme="majorHAnsi" w:eastAsia="Times New Roman" w:hAnsiTheme="majorHAnsi" w:cs="Times New Roman"/>
          <w:color w:val="000000"/>
          <w:sz w:val="22"/>
          <w:szCs w:val="22"/>
          <w:lang w:eastAsia="en-AU"/>
        </w:rPr>
      </w:pPr>
      <w:r w:rsidRPr="005C3C96">
        <w:rPr>
          <w:rFonts w:asciiTheme="majorHAnsi" w:eastAsia="Times New Roman" w:hAnsiTheme="majorHAnsi" w:cs="Times New Roman"/>
          <w:color w:val="000000"/>
          <w:sz w:val="22"/>
          <w:szCs w:val="22"/>
          <w:lang w:eastAsia="en-AU"/>
        </w:rPr>
        <w:t>The inclusion of Lot 1</w:t>
      </w:r>
      <w:r>
        <w:rPr>
          <w:rFonts w:asciiTheme="majorHAnsi" w:eastAsia="Times New Roman" w:hAnsiTheme="majorHAnsi" w:cs="Times New Roman"/>
          <w:color w:val="000000"/>
          <w:sz w:val="22"/>
          <w:szCs w:val="22"/>
          <w:lang w:eastAsia="en-AU"/>
        </w:rPr>
        <w:t xml:space="preserve"> as an </w:t>
      </w:r>
      <w:r w:rsidRPr="005C3C96">
        <w:rPr>
          <w:rFonts w:asciiTheme="majorHAnsi" w:eastAsia="Times New Roman" w:hAnsiTheme="majorHAnsi" w:cs="Times New Roman"/>
          <w:color w:val="000000"/>
          <w:sz w:val="22"/>
          <w:szCs w:val="22"/>
          <w:lang w:eastAsia="en-AU"/>
        </w:rPr>
        <w:t>urban release area</w:t>
      </w:r>
      <w:r>
        <w:rPr>
          <w:rFonts w:asciiTheme="majorHAnsi" w:eastAsia="Times New Roman" w:hAnsiTheme="majorHAnsi" w:cs="Times New Roman"/>
          <w:color w:val="000000"/>
          <w:sz w:val="22"/>
          <w:szCs w:val="22"/>
          <w:lang w:eastAsia="en-AU"/>
        </w:rPr>
        <w:t xml:space="preserve"> of Muswellbrook LEP 2009 </w:t>
      </w:r>
      <w:r w:rsidRPr="005C3C96">
        <w:rPr>
          <w:rFonts w:asciiTheme="majorHAnsi" w:eastAsia="Times New Roman" w:hAnsiTheme="majorHAnsi" w:cs="Times New Roman"/>
          <w:color w:val="000000"/>
          <w:sz w:val="22"/>
          <w:szCs w:val="22"/>
          <w:lang w:eastAsia="en-AU"/>
        </w:rPr>
        <w:t>will ensure that any public utility infrastructure that is essential for the proposed development is available or that adequate arrangements have been made to make that infrastructure available when required.</w:t>
      </w:r>
      <w:r>
        <w:rPr>
          <w:rFonts w:asciiTheme="majorHAnsi" w:eastAsia="Times New Roman" w:hAnsiTheme="majorHAnsi" w:cs="Times New Roman"/>
          <w:color w:val="000000"/>
          <w:sz w:val="22"/>
          <w:szCs w:val="22"/>
          <w:lang w:eastAsia="en-AU"/>
        </w:rPr>
        <w:t xml:space="preserve"> It also requires </w:t>
      </w:r>
      <w:r w:rsidRPr="005C3C96">
        <w:rPr>
          <w:rFonts w:asciiTheme="majorHAnsi" w:eastAsia="Times New Roman" w:hAnsiTheme="majorHAnsi" w:cs="Times New Roman"/>
          <w:color w:val="000000"/>
          <w:sz w:val="22"/>
          <w:szCs w:val="22"/>
          <w:lang w:eastAsia="en-AU"/>
        </w:rPr>
        <w:t>satisfactory arrangements to be made for the provision of designated State public infrastructure before the subdivision of land in an urban release area to satisfy needs that arise from development on the land</w:t>
      </w:r>
      <w:r>
        <w:rPr>
          <w:rFonts w:asciiTheme="majorHAnsi" w:eastAsia="Times New Roman" w:hAnsiTheme="majorHAnsi" w:cs="Times New Roman"/>
          <w:color w:val="000000"/>
          <w:sz w:val="22"/>
          <w:szCs w:val="22"/>
          <w:lang w:eastAsia="en-AU"/>
        </w:rPr>
        <w:t>.</w:t>
      </w:r>
    </w:p>
    <w:p w:rsidR="00877A9D" w:rsidRDefault="00877A9D" w:rsidP="001F02FD">
      <w:pPr>
        <w:spacing w:before="240" w:after="240" w:line="280" w:lineRule="exact"/>
        <w:contextualSpacing/>
        <w:jc w:val="both"/>
        <w:rPr>
          <w:rFonts w:asciiTheme="majorHAnsi" w:eastAsia="Times New Roman" w:hAnsiTheme="majorHAnsi" w:cs="Times New Roman"/>
          <w:color w:val="000000"/>
          <w:sz w:val="22"/>
          <w:szCs w:val="22"/>
          <w:lang w:eastAsia="en-AU"/>
        </w:rPr>
      </w:pPr>
    </w:p>
    <w:p w:rsidR="009757DA" w:rsidRPr="009420FB" w:rsidRDefault="009757DA" w:rsidP="006C7B49">
      <w:pPr>
        <w:spacing w:before="240" w:after="240" w:line="280" w:lineRule="exact"/>
        <w:contextualSpacing/>
        <w:jc w:val="both"/>
        <w:rPr>
          <w:rFonts w:asciiTheme="majorHAnsi" w:eastAsia="Times New Roman" w:hAnsiTheme="majorHAnsi" w:cs="Times New Roman"/>
          <w:b/>
          <w:i/>
          <w:color w:val="000000"/>
          <w:sz w:val="23"/>
          <w:szCs w:val="23"/>
          <w:lang w:eastAsia="en-AU"/>
        </w:rPr>
      </w:pPr>
      <w:r w:rsidRPr="009420FB">
        <w:rPr>
          <w:rFonts w:asciiTheme="majorHAnsi" w:eastAsia="Times New Roman" w:hAnsiTheme="majorHAnsi" w:cs="Times New Roman"/>
          <w:b/>
          <w:i/>
          <w:color w:val="000000"/>
          <w:sz w:val="23"/>
          <w:szCs w:val="23"/>
          <w:lang w:eastAsia="en-AU"/>
        </w:rPr>
        <w:t xml:space="preserve">What are the views of State and Commonwealth public authorities consulted in </w:t>
      </w:r>
      <w:r w:rsidR="006C7B49">
        <w:rPr>
          <w:rFonts w:asciiTheme="majorHAnsi" w:eastAsia="Times New Roman" w:hAnsiTheme="majorHAnsi" w:cs="Times New Roman"/>
          <w:b/>
          <w:i/>
          <w:color w:val="000000"/>
          <w:sz w:val="23"/>
          <w:szCs w:val="23"/>
          <w:lang w:eastAsia="en-AU"/>
        </w:rPr>
        <w:t>a</w:t>
      </w:r>
      <w:r w:rsidRPr="009420FB">
        <w:rPr>
          <w:rFonts w:asciiTheme="majorHAnsi" w:eastAsia="Times New Roman" w:hAnsiTheme="majorHAnsi" w:cs="Times New Roman"/>
          <w:b/>
          <w:i/>
          <w:color w:val="000000"/>
          <w:sz w:val="23"/>
          <w:szCs w:val="23"/>
          <w:lang w:eastAsia="en-AU"/>
        </w:rPr>
        <w:t xml:space="preserve">ccordance with the gateway determination? </w:t>
      </w:r>
    </w:p>
    <w:p w:rsidR="00A819E0" w:rsidRPr="009420FB" w:rsidRDefault="00A819E0" w:rsidP="005813CD">
      <w:pPr>
        <w:spacing w:before="240" w:after="240" w:line="280" w:lineRule="exact"/>
        <w:contextualSpacing/>
        <w:jc w:val="both"/>
        <w:rPr>
          <w:rFonts w:asciiTheme="majorHAnsi" w:eastAsia="Times New Roman" w:hAnsiTheme="majorHAnsi" w:cs="Times New Roman"/>
          <w:color w:val="000000"/>
          <w:sz w:val="22"/>
          <w:szCs w:val="22"/>
          <w:lang w:eastAsia="en-AU"/>
        </w:rPr>
      </w:pPr>
    </w:p>
    <w:p w:rsidR="00A819E0" w:rsidRDefault="0007330E" w:rsidP="0007330E">
      <w:pPr>
        <w:spacing w:before="240" w:after="240"/>
        <w:contextualSpacing/>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The Gateway Determination required consultation with Department of Primary Industries (Agricultural NSW), </w:t>
      </w:r>
      <w:r w:rsidR="00280B1A">
        <w:rPr>
          <w:rFonts w:asciiTheme="majorHAnsi" w:eastAsia="Times New Roman" w:hAnsiTheme="majorHAnsi" w:cs="Times New Roman"/>
          <w:color w:val="000000"/>
          <w:sz w:val="22"/>
          <w:szCs w:val="22"/>
          <w:lang w:eastAsia="en-AU"/>
        </w:rPr>
        <w:t xml:space="preserve">NSW Resources and Energy, Mine </w:t>
      </w:r>
      <w:r>
        <w:rPr>
          <w:rFonts w:asciiTheme="majorHAnsi" w:eastAsia="Times New Roman" w:hAnsiTheme="majorHAnsi" w:cs="Times New Roman"/>
          <w:color w:val="000000"/>
          <w:sz w:val="22"/>
          <w:szCs w:val="22"/>
          <w:lang w:eastAsia="en-AU"/>
        </w:rPr>
        <w:t>Subsidence Board</w:t>
      </w:r>
      <w:r w:rsidR="00616ED0">
        <w:rPr>
          <w:rFonts w:asciiTheme="majorHAnsi" w:eastAsia="Times New Roman" w:hAnsiTheme="majorHAnsi" w:cs="Times New Roman"/>
          <w:color w:val="000000"/>
          <w:sz w:val="22"/>
          <w:szCs w:val="22"/>
          <w:lang w:eastAsia="en-AU"/>
        </w:rPr>
        <w:t>,</w:t>
      </w:r>
      <w:r w:rsidR="00280B1A" w:rsidRPr="00280B1A">
        <w:rPr>
          <w:rFonts w:asciiTheme="majorHAnsi" w:eastAsia="Times New Roman" w:hAnsiTheme="majorHAnsi" w:cs="Times New Roman"/>
          <w:color w:val="000000"/>
          <w:sz w:val="22"/>
          <w:szCs w:val="22"/>
          <w:lang w:eastAsia="en-AU"/>
        </w:rPr>
        <w:t xml:space="preserve"> </w:t>
      </w:r>
      <w:r w:rsidR="00616ED0">
        <w:rPr>
          <w:rFonts w:asciiTheme="majorHAnsi" w:eastAsia="Times New Roman" w:hAnsiTheme="majorHAnsi" w:cs="Times New Roman"/>
          <w:color w:val="000000"/>
          <w:sz w:val="22"/>
          <w:szCs w:val="22"/>
          <w:lang w:eastAsia="en-AU"/>
        </w:rPr>
        <w:t xml:space="preserve">Office of Environment &amp; Heritage, </w:t>
      </w:r>
      <w:r w:rsidR="00280B1A">
        <w:rPr>
          <w:rFonts w:asciiTheme="majorHAnsi" w:eastAsia="Times New Roman" w:hAnsiTheme="majorHAnsi" w:cs="Times New Roman"/>
          <w:color w:val="000000"/>
          <w:sz w:val="22"/>
          <w:szCs w:val="22"/>
          <w:lang w:eastAsia="en-AU"/>
        </w:rPr>
        <w:t>and W</w:t>
      </w:r>
      <w:r w:rsidR="00616ED0">
        <w:rPr>
          <w:rFonts w:asciiTheme="majorHAnsi" w:eastAsia="Times New Roman" w:hAnsiTheme="majorHAnsi" w:cs="Times New Roman"/>
          <w:color w:val="000000"/>
          <w:sz w:val="22"/>
          <w:szCs w:val="22"/>
          <w:lang w:eastAsia="en-AU"/>
        </w:rPr>
        <w:t>anaruah Aboriginal Land Council</w:t>
      </w:r>
      <w:r>
        <w:rPr>
          <w:rFonts w:asciiTheme="majorHAnsi" w:eastAsia="Times New Roman" w:hAnsiTheme="majorHAnsi" w:cs="Times New Roman"/>
          <w:color w:val="000000"/>
          <w:sz w:val="22"/>
          <w:szCs w:val="22"/>
          <w:lang w:eastAsia="en-AU"/>
        </w:rPr>
        <w:t xml:space="preserve">.  This </w:t>
      </w:r>
      <w:r w:rsidR="001165A8">
        <w:rPr>
          <w:rFonts w:asciiTheme="majorHAnsi" w:eastAsia="Times New Roman" w:hAnsiTheme="majorHAnsi" w:cs="Times New Roman"/>
          <w:color w:val="000000"/>
          <w:sz w:val="22"/>
          <w:szCs w:val="22"/>
          <w:lang w:eastAsia="en-AU"/>
        </w:rPr>
        <w:t>consultation</w:t>
      </w:r>
      <w:r>
        <w:rPr>
          <w:rFonts w:asciiTheme="majorHAnsi" w:eastAsia="Times New Roman" w:hAnsiTheme="majorHAnsi" w:cs="Times New Roman"/>
          <w:color w:val="000000"/>
          <w:sz w:val="22"/>
          <w:szCs w:val="22"/>
          <w:lang w:eastAsia="en-AU"/>
        </w:rPr>
        <w:t xml:space="preserve"> was undertaken and the responses are included in </w:t>
      </w:r>
      <w:r w:rsidRPr="008B3B98">
        <w:rPr>
          <w:rFonts w:asciiTheme="majorHAnsi" w:eastAsia="Times New Roman" w:hAnsiTheme="majorHAnsi" w:cs="Times New Roman"/>
          <w:b/>
          <w:color w:val="000000"/>
          <w:sz w:val="22"/>
          <w:szCs w:val="22"/>
          <w:lang w:eastAsia="en-AU"/>
        </w:rPr>
        <w:t xml:space="preserve">Appendix </w:t>
      </w:r>
      <w:r w:rsidR="008B3B98" w:rsidRPr="008B3B98">
        <w:rPr>
          <w:rFonts w:asciiTheme="majorHAnsi" w:eastAsia="Times New Roman" w:hAnsiTheme="majorHAnsi" w:cs="Times New Roman"/>
          <w:b/>
          <w:color w:val="000000"/>
          <w:sz w:val="22"/>
          <w:szCs w:val="22"/>
          <w:lang w:eastAsia="en-AU"/>
        </w:rPr>
        <w:t>3</w:t>
      </w:r>
      <w:r>
        <w:rPr>
          <w:rFonts w:asciiTheme="majorHAnsi" w:eastAsia="Times New Roman" w:hAnsiTheme="majorHAnsi" w:cs="Times New Roman"/>
          <w:color w:val="000000"/>
          <w:sz w:val="22"/>
          <w:szCs w:val="22"/>
          <w:lang w:eastAsia="en-AU"/>
        </w:rPr>
        <w:t xml:space="preserve"> to this report.  </w:t>
      </w:r>
    </w:p>
    <w:p w:rsidR="00280B1A" w:rsidRPr="00877A9D" w:rsidRDefault="00280B1A" w:rsidP="00616ED0">
      <w:pPr>
        <w:pStyle w:val="ListParagraph"/>
        <w:numPr>
          <w:ilvl w:val="0"/>
          <w:numId w:val="43"/>
        </w:numPr>
        <w:spacing w:before="240" w:after="120"/>
        <w:ind w:left="357" w:hanging="357"/>
        <w:contextualSpacing w:val="0"/>
        <w:jc w:val="both"/>
        <w:rPr>
          <w:rFonts w:asciiTheme="majorHAnsi" w:eastAsia="Times New Roman" w:hAnsiTheme="majorHAnsi" w:cs="Times New Roman"/>
          <w:b/>
          <w:i/>
          <w:color w:val="000000"/>
          <w:sz w:val="22"/>
          <w:szCs w:val="22"/>
          <w:lang w:eastAsia="en-AU"/>
        </w:rPr>
      </w:pPr>
      <w:r w:rsidRPr="00877A9D">
        <w:rPr>
          <w:rFonts w:asciiTheme="majorHAnsi" w:eastAsia="Times New Roman" w:hAnsiTheme="majorHAnsi" w:cs="Times New Roman"/>
          <w:b/>
          <w:i/>
          <w:color w:val="000000"/>
          <w:sz w:val="22"/>
          <w:szCs w:val="22"/>
          <w:lang w:eastAsia="en-AU"/>
        </w:rPr>
        <w:t>Department of Primary Industries (Agricultural NSW)</w:t>
      </w:r>
    </w:p>
    <w:p w:rsidR="00280B1A" w:rsidRDefault="00280B1A" w:rsidP="00616ED0">
      <w:pPr>
        <w:spacing w:after="240"/>
        <w:ind w:left="360"/>
        <w:contextualSpacing/>
        <w:jc w:val="both"/>
        <w:rPr>
          <w:rFonts w:asciiTheme="majorHAnsi" w:eastAsia="Times New Roman" w:hAnsiTheme="majorHAnsi" w:cs="Times New Roman"/>
          <w:color w:val="000000"/>
          <w:sz w:val="22"/>
          <w:szCs w:val="22"/>
          <w:lang w:eastAsia="en-AU"/>
        </w:rPr>
      </w:pPr>
      <w:r w:rsidRPr="00280B1A">
        <w:rPr>
          <w:rFonts w:asciiTheme="majorHAnsi" w:eastAsia="Times New Roman" w:hAnsiTheme="majorHAnsi" w:cs="Times New Roman"/>
          <w:color w:val="000000"/>
          <w:sz w:val="22"/>
          <w:szCs w:val="22"/>
          <w:lang w:eastAsia="en-AU"/>
        </w:rPr>
        <w:t>In March 2014, Council adopted MRRRS, which aims to provide Council with a long-term strategic plan to manage residential growth and to provide strategic directions for residential and rural residential land release.</w:t>
      </w:r>
      <w:r>
        <w:rPr>
          <w:rFonts w:asciiTheme="majorHAnsi" w:eastAsia="Times New Roman" w:hAnsiTheme="majorHAnsi" w:cs="Times New Roman"/>
          <w:color w:val="000000"/>
          <w:sz w:val="22"/>
          <w:szCs w:val="22"/>
          <w:lang w:eastAsia="en-AU"/>
        </w:rPr>
        <w:t xml:space="preserve"> </w:t>
      </w:r>
      <w:r w:rsidRPr="00280B1A">
        <w:rPr>
          <w:rFonts w:asciiTheme="majorHAnsi" w:eastAsia="Times New Roman" w:hAnsiTheme="majorHAnsi" w:cs="Times New Roman"/>
          <w:color w:val="000000"/>
          <w:sz w:val="22"/>
          <w:szCs w:val="22"/>
          <w:lang w:eastAsia="en-AU"/>
        </w:rPr>
        <w:t>The subject land (Denman Candidate Area A) is identified in MRRRS as ‘Category 1’ land and ‘Category 1’ land defines as “land which is a logical extension of and located in close proximity to existing developed areas, building upon existing services and amenities and requires the augmentation of infrastructure”.  Timing of land release in ‘Category 1’ is identified as short term (i.e. 2016 - 2021). On this basis of MRRRS recommendations, Council supported this Planning Proposal to proceed through Gateway process.</w:t>
      </w:r>
    </w:p>
    <w:p w:rsidR="00280B1A" w:rsidRPr="00280B1A" w:rsidRDefault="00280B1A" w:rsidP="00616ED0">
      <w:pPr>
        <w:spacing w:before="240" w:after="240"/>
        <w:ind w:left="360"/>
        <w:contextualSpacing/>
        <w:jc w:val="both"/>
        <w:rPr>
          <w:rFonts w:asciiTheme="majorHAnsi" w:eastAsia="Times New Roman" w:hAnsiTheme="majorHAnsi" w:cs="Times New Roman"/>
          <w:color w:val="000000"/>
          <w:sz w:val="22"/>
          <w:szCs w:val="22"/>
          <w:lang w:eastAsia="en-AU"/>
        </w:rPr>
      </w:pPr>
    </w:p>
    <w:p w:rsidR="00280B1A" w:rsidRDefault="00280B1A" w:rsidP="00616ED0">
      <w:pPr>
        <w:spacing w:before="240" w:after="240"/>
        <w:ind w:left="360"/>
        <w:contextualSpacing/>
        <w:jc w:val="both"/>
        <w:rPr>
          <w:rFonts w:asciiTheme="majorHAnsi" w:eastAsia="Times New Roman" w:hAnsiTheme="majorHAnsi" w:cs="Times New Roman"/>
          <w:color w:val="000000"/>
          <w:sz w:val="22"/>
          <w:szCs w:val="22"/>
          <w:lang w:eastAsia="en-AU"/>
        </w:rPr>
      </w:pPr>
      <w:r w:rsidRPr="00280B1A">
        <w:rPr>
          <w:rFonts w:asciiTheme="majorHAnsi" w:eastAsia="Times New Roman" w:hAnsiTheme="majorHAnsi" w:cs="Times New Roman"/>
          <w:color w:val="000000"/>
          <w:sz w:val="22"/>
          <w:szCs w:val="22"/>
          <w:lang w:eastAsia="en-AU"/>
        </w:rPr>
        <w:t>The MRRRS was endorsed by the DP&amp;E in May 2015. However, The DP&amp;E has not endorsed the Denman Candidate Area A as it is located within the Viticulture and Equine CICs identified in the UHSRLUP. The DP&amp;E indicated that they will not be endorsing Denman Candidate Area A until Council demonstrates that the proposed rural residential development will not impact on the operation of the adjoining Two Rivers winery, which forms part of the CICs identified in the UHSRLUP.</w:t>
      </w:r>
    </w:p>
    <w:p w:rsidR="00280B1A" w:rsidRPr="00280B1A" w:rsidRDefault="00280B1A" w:rsidP="00616ED0">
      <w:pPr>
        <w:spacing w:before="240" w:after="240"/>
        <w:ind w:left="360"/>
        <w:contextualSpacing/>
        <w:jc w:val="both"/>
        <w:rPr>
          <w:rFonts w:asciiTheme="majorHAnsi" w:eastAsia="Times New Roman" w:hAnsiTheme="majorHAnsi" w:cs="Times New Roman"/>
          <w:color w:val="000000"/>
          <w:sz w:val="22"/>
          <w:szCs w:val="22"/>
          <w:lang w:eastAsia="en-AU"/>
        </w:rPr>
      </w:pPr>
    </w:p>
    <w:p w:rsidR="00280B1A" w:rsidRDefault="00280B1A" w:rsidP="00616ED0">
      <w:pPr>
        <w:spacing w:before="240" w:after="240"/>
        <w:ind w:left="360"/>
        <w:contextualSpacing/>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 xml:space="preserve">Subsequently, </w:t>
      </w:r>
      <w:r w:rsidRPr="00280B1A">
        <w:rPr>
          <w:rFonts w:asciiTheme="majorHAnsi" w:eastAsia="Times New Roman" w:hAnsiTheme="majorHAnsi" w:cs="Times New Roman"/>
          <w:color w:val="000000"/>
          <w:sz w:val="22"/>
          <w:szCs w:val="22"/>
          <w:lang w:eastAsia="en-AU"/>
        </w:rPr>
        <w:t xml:space="preserve">the Agriculture NSW supported the proposed rezoning based on the MRRRS and acknowledged that CIC </w:t>
      </w:r>
      <w:proofErr w:type="gramStart"/>
      <w:r w:rsidRPr="00280B1A">
        <w:rPr>
          <w:rFonts w:asciiTheme="majorHAnsi" w:eastAsia="Times New Roman" w:hAnsiTheme="majorHAnsi" w:cs="Times New Roman"/>
          <w:color w:val="000000"/>
          <w:sz w:val="22"/>
          <w:szCs w:val="22"/>
          <w:lang w:eastAsia="en-AU"/>
        </w:rPr>
        <w:t>land were</w:t>
      </w:r>
      <w:proofErr w:type="gramEnd"/>
      <w:r w:rsidRPr="00280B1A">
        <w:rPr>
          <w:rFonts w:asciiTheme="majorHAnsi" w:eastAsia="Times New Roman" w:hAnsiTheme="majorHAnsi" w:cs="Times New Roman"/>
          <w:color w:val="000000"/>
          <w:sz w:val="22"/>
          <w:szCs w:val="22"/>
          <w:lang w:eastAsia="en-AU"/>
        </w:rPr>
        <w:t xml:space="preserve"> mapped at a broader level scale.</w:t>
      </w:r>
      <w:r w:rsidR="00616ED0">
        <w:rPr>
          <w:rFonts w:asciiTheme="majorHAnsi" w:eastAsia="Times New Roman" w:hAnsiTheme="majorHAnsi" w:cs="Times New Roman"/>
          <w:color w:val="000000"/>
          <w:sz w:val="22"/>
          <w:szCs w:val="22"/>
          <w:lang w:eastAsia="en-AU"/>
        </w:rPr>
        <w:t xml:space="preserve"> </w:t>
      </w:r>
      <w:r w:rsidRPr="00280B1A">
        <w:rPr>
          <w:rFonts w:asciiTheme="majorHAnsi" w:eastAsia="Times New Roman" w:hAnsiTheme="majorHAnsi" w:cs="Times New Roman"/>
          <w:color w:val="000000"/>
          <w:sz w:val="22"/>
          <w:szCs w:val="22"/>
          <w:lang w:eastAsia="en-AU"/>
        </w:rPr>
        <w:t xml:space="preserve">All the other </w:t>
      </w:r>
      <w:r w:rsidRPr="00280B1A">
        <w:rPr>
          <w:rFonts w:asciiTheme="majorHAnsi" w:eastAsia="Times New Roman" w:hAnsiTheme="majorHAnsi" w:cs="Times New Roman"/>
          <w:color w:val="000000"/>
          <w:sz w:val="22"/>
          <w:szCs w:val="22"/>
          <w:lang w:eastAsia="en-AU"/>
        </w:rPr>
        <w:lastRenderedPageBreak/>
        <w:t xml:space="preserve">matters </w:t>
      </w:r>
      <w:r w:rsidR="00616ED0">
        <w:rPr>
          <w:rFonts w:asciiTheme="majorHAnsi" w:eastAsia="Times New Roman" w:hAnsiTheme="majorHAnsi" w:cs="Times New Roman"/>
          <w:color w:val="000000"/>
          <w:sz w:val="22"/>
          <w:szCs w:val="22"/>
          <w:lang w:eastAsia="en-AU"/>
        </w:rPr>
        <w:t xml:space="preserve">raised </w:t>
      </w:r>
      <w:r w:rsidRPr="00280B1A">
        <w:rPr>
          <w:rFonts w:asciiTheme="majorHAnsi" w:eastAsia="Times New Roman" w:hAnsiTheme="majorHAnsi" w:cs="Times New Roman"/>
          <w:color w:val="000000"/>
          <w:sz w:val="22"/>
          <w:szCs w:val="22"/>
          <w:lang w:eastAsia="en-AU"/>
        </w:rPr>
        <w:t xml:space="preserve">including appropriate buffers and design guidelines recommend by the </w:t>
      </w:r>
      <w:r w:rsidR="00616ED0">
        <w:rPr>
          <w:rFonts w:asciiTheme="majorHAnsi" w:eastAsia="Times New Roman" w:hAnsiTheme="majorHAnsi" w:cs="Times New Roman"/>
          <w:color w:val="000000"/>
          <w:sz w:val="22"/>
          <w:szCs w:val="22"/>
          <w:lang w:eastAsia="en-AU"/>
        </w:rPr>
        <w:t>Agriculture NSW</w:t>
      </w:r>
      <w:r w:rsidRPr="00280B1A">
        <w:rPr>
          <w:rFonts w:asciiTheme="majorHAnsi" w:eastAsia="Times New Roman" w:hAnsiTheme="majorHAnsi" w:cs="Times New Roman"/>
          <w:color w:val="000000"/>
          <w:sz w:val="22"/>
          <w:szCs w:val="22"/>
          <w:lang w:eastAsia="en-AU"/>
        </w:rPr>
        <w:t xml:space="preserve"> will be considered and addressed in the future at the detailed subdivision application stage.</w:t>
      </w:r>
    </w:p>
    <w:p w:rsidR="00616ED0" w:rsidRPr="00877A9D" w:rsidRDefault="00616ED0" w:rsidP="00877A9D">
      <w:pPr>
        <w:pStyle w:val="ListParagraph"/>
        <w:numPr>
          <w:ilvl w:val="0"/>
          <w:numId w:val="43"/>
        </w:numPr>
        <w:spacing w:before="240" w:after="120"/>
        <w:ind w:left="357" w:hanging="357"/>
        <w:contextualSpacing w:val="0"/>
        <w:jc w:val="both"/>
        <w:rPr>
          <w:rFonts w:asciiTheme="majorHAnsi" w:eastAsia="Times New Roman" w:hAnsiTheme="majorHAnsi" w:cs="Times New Roman"/>
          <w:b/>
          <w:i/>
          <w:color w:val="000000"/>
          <w:sz w:val="22"/>
          <w:szCs w:val="22"/>
          <w:lang w:eastAsia="en-AU"/>
        </w:rPr>
      </w:pPr>
      <w:r w:rsidRPr="00877A9D">
        <w:rPr>
          <w:rFonts w:asciiTheme="majorHAnsi" w:eastAsia="Times New Roman" w:hAnsiTheme="majorHAnsi" w:cs="Times New Roman"/>
          <w:b/>
          <w:i/>
          <w:color w:val="000000"/>
          <w:sz w:val="22"/>
          <w:szCs w:val="22"/>
          <w:lang w:eastAsia="en-AU"/>
        </w:rPr>
        <w:t xml:space="preserve">Mine Subsidence Board </w:t>
      </w:r>
    </w:p>
    <w:p w:rsidR="00616ED0" w:rsidRDefault="00616ED0" w:rsidP="00616ED0">
      <w:pPr>
        <w:pStyle w:val="ListParagraph"/>
        <w:spacing w:after="0"/>
        <w:ind w:left="360"/>
        <w:jc w:val="both"/>
        <w:rPr>
          <w:rFonts w:asciiTheme="majorHAnsi" w:eastAsia="Times New Roman" w:hAnsiTheme="majorHAnsi" w:cs="Times New Roman"/>
          <w:color w:val="000000"/>
          <w:sz w:val="22"/>
          <w:szCs w:val="22"/>
          <w:lang w:eastAsia="en-AU"/>
        </w:rPr>
      </w:pPr>
      <w:r w:rsidRPr="00616ED0">
        <w:rPr>
          <w:rFonts w:asciiTheme="majorHAnsi" w:eastAsia="Times New Roman" w:hAnsiTheme="majorHAnsi" w:cs="Times New Roman"/>
          <w:color w:val="000000"/>
          <w:sz w:val="22"/>
          <w:szCs w:val="22"/>
          <w:lang w:eastAsia="en-AU"/>
        </w:rPr>
        <w:t>Mine Subsidence Board</w:t>
      </w:r>
      <w:r>
        <w:rPr>
          <w:rFonts w:asciiTheme="majorHAnsi" w:eastAsia="Times New Roman" w:hAnsiTheme="majorHAnsi" w:cs="Times New Roman"/>
          <w:color w:val="000000"/>
          <w:sz w:val="22"/>
          <w:szCs w:val="22"/>
          <w:lang w:eastAsia="en-AU"/>
        </w:rPr>
        <w:t xml:space="preserve"> (MSB)</w:t>
      </w:r>
      <w:r w:rsidRPr="00616ED0">
        <w:rPr>
          <w:rFonts w:asciiTheme="majorHAnsi" w:eastAsia="Times New Roman" w:hAnsiTheme="majorHAnsi" w:cs="Times New Roman"/>
          <w:color w:val="000000"/>
          <w:sz w:val="22"/>
          <w:szCs w:val="22"/>
          <w:lang w:eastAsia="en-AU"/>
        </w:rPr>
        <w:t xml:space="preserve"> w</w:t>
      </w:r>
      <w:r>
        <w:rPr>
          <w:rFonts w:asciiTheme="majorHAnsi" w:eastAsia="Times New Roman" w:hAnsiTheme="majorHAnsi" w:cs="Times New Roman"/>
          <w:color w:val="000000"/>
          <w:sz w:val="22"/>
          <w:szCs w:val="22"/>
          <w:lang w:eastAsia="en-AU"/>
        </w:rPr>
        <w:t xml:space="preserve">as </w:t>
      </w:r>
      <w:r w:rsidRPr="00616ED0">
        <w:rPr>
          <w:rFonts w:asciiTheme="majorHAnsi" w:eastAsia="Times New Roman" w:hAnsiTheme="majorHAnsi" w:cs="Times New Roman"/>
          <w:color w:val="000000"/>
          <w:sz w:val="22"/>
          <w:szCs w:val="22"/>
          <w:lang w:eastAsia="en-AU"/>
        </w:rPr>
        <w:t xml:space="preserve">consulted prior to public exhibition. </w:t>
      </w:r>
      <w:r>
        <w:rPr>
          <w:rFonts w:asciiTheme="majorHAnsi" w:eastAsia="Times New Roman" w:hAnsiTheme="majorHAnsi" w:cs="Times New Roman"/>
          <w:color w:val="000000"/>
          <w:sz w:val="22"/>
          <w:szCs w:val="22"/>
          <w:lang w:eastAsia="en-AU"/>
        </w:rPr>
        <w:t xml:space="preserve">MSB </w:t>
      </w:r>
      <w:r w:rsidRPr="00616ED0">
        <w:rPr>
          <w:rFonts w:asciiTheme="majorHAnsi" w:eastAsia="Times New Roman" w:hAnsiTheme="majorHAnsi" w:cs="Times New Roman"/>
          <w:color w:val="000000"/>
          <w:sz w:val="22"/>
          <w:szCs w:val="22"/>
          <w:lang w:eastAsia="en-AU"/>
        </w:rPr>
        <w:t xml:space="preserve">advised that </w:t>
      </w:r>
      <w:r w:rsidR="00605ADD">
        <w:rPr>
          <w:rFonts w:asciiTheme="majorHAnsi" w:eastAsia="Times New Roman" w:hAnsiTheme="majorHAnsi" w:cs="Times New Roman"/>
          <w:color w:val="000000"/>
          <w:sz w:val="22"/>
          <w:szCs w:val="22"/>
          <w:lang w:eastAsia="en-AU"/>
        </w:rPr>
        <w:t>they have</w:t>
      </w:r>
      <w:r>
        <w:rPr>
          <w:rFonts w:asciiTheme="majorHAnsi" w:eastAsia="Times New Roman" w:hAnsiTheme="majorHAnsi" w:cs="Times New Roman"/>
          <w:color w:val="000000"/>
          <w:sz w:val="22"/>
          <w:szCs w:val="22"/>
          <w:lang w:eastAsia="en-AU"/>
        </w:rPr>
        <w:t xml:space="preserve"> </w:t>
      </w:r>
      <w:r w:rsidRPr="00616ED0">
        <w:rPr>
          <w:rFonts w:asciiTheme="majorHAnsi" w:eastAsia="Times New Roman" w:hAnsiTheme="majorHAnsi" w:cs="Times New Roman"/>
          <w:color w:val="000000"/>
          <w:sz w:val="22"/>
          <w:szCs w:val="22"/>
          <w:lang w:eastAsia="en-AU"/>
        </w:rPr>
        <w:t>no objections to the proposed rezoning.</w:t>
      </w:r>
      <w:r>
        <w:rPr>
          <w:rFonts w:asciiTheme="majorHAnsi" w:eastAsia="Times New Roman" w:hAnsiTheme="majorHAnsi" w:cs="Times New Roman"/>
          <w:color w:val="000000"/>
          <w:sz w:val="22"/>
          <w:szCs w:val="22"/>
          <w:lang w:eastAsia="en-AU"/>
        </w:rPr>
        <w:t xml:space="preserve"> </w:t>
      </w:r>
      <w:r w:rsidRPr="00616ED0">
        <w:rPr>
          <w:rFonts w:asciiTheme="majorHAnsi" w:eastAsia="Times New Roman" w:hAnsiTheme="majorHAnsi" w:cs="Times New Roman"/>
          <w:color w:val="000000"/>
          <w:sz w:val="22"/>
          <w:szCs w:val="22"/>
          <w:lang w:eastAsia="en-AU"/>
        </w:rPr>
        <w:t xml:space="preserve">The site is located within mine subsidence district and future approval would be required for subdivision by </w:t>
      </w:r>
      <w:r>
        <w:rPr>
          <w:rFonts w:asciiTheme="majorHAnsi" w:eastAsia="Times New Roman" w:hAnsiTheme="majorHAnsi" w:cs="Times New Roman"/>
          <w:color w:val="000000"/>
          <w:sz w:val="22"/>
          <w:szCs w:val="22"/>
          <w:lang w:eastAsia="en-AU"/>
        </w:rPr>
        <w:t>MSB</w:t>
      </w:r>
      <w:r w:rsidRPr="00616ED0">
        <w:rPr>
          <w:rFonts w:asciiTheme="majorHAnsi" w:eastAsia="Times New Roman" w:hAnsiTheme="majorHAnsi" w:cs="Times New Roman"/>
          <w:color w:val="000000"/>
          <w:sz w:val="22"/>
          <w:szCs w:val="22"/>
          <w:lang w:eastAsia="en-AU"/>
        </w:rPr>
        <w:t xml:space="preserve">. Given the proximity of the site to the existing Denman Village, it is considered highly unlikely that the land would be suitable for mining purposes. </w:t>
      </w:r>
    </w:p>
    <w:p w:rsidR="00616ED0" w:rsidRPr="00877A9D" w:rsidRDefault="00616ED0" w:rsidP="00877A9D">
      <w:pPr>
        <w:pStyle w:val="ListParagraph"/>
        <w:numPr>
          <w:ilvl w:val="0"/>
          <w:numId w:val="43"/>
        </w:numPr>
        <w:spacing w:before="240" w:after="0"/>
        <w:ind w:left="357" w:hanging="357"/>
        <w:contextualSpacing w:val="0"/>
        <w:jc w:val="both"/>
        <w:rPr>
          <w:rFonts w:asciiTheme="majorHAnsi" w:eastAsia="Times New Roman" w:hAnsiTheme="majorHAnsi" w:cs="Times New Roman"/>
          <w:b/>
          <w:i/>
          <w:color w:val="000000"/>
          <w:sz w:val="22"/>
          <w:szCs w:val="22"/>
          <w:lang w:eastAsia="en-AU"/>
        </w:rPr>
      </w:pPr>
      <w:r w:rsidRPr="00877A9D">
        <w:rPr>
          <w:rFonts w:asciiTheme="majorHAnsi" w:eastAsia="Times New Roman" w:hAnsiTheme="majorHAnsi" w:cs="Times New Roman"/>
          <w:b/>
          <w:i/>
          <w:color w:val="000000"/>
          <w:sz w:val="22"/>
          <w:szCs w:val="22"/>
          <w:lang w:eastAsia="en-AU"/>
        </w:rPr>
        <w:t>NSW Trade &amp; Investment (Resources and Energy)</w:t>
      </w:r>
    </w:p>
    <w:p w:rsidR="00605ADD" w:rsidRDefault="00616ED0" w:rsidP="00616ED0">
      <w:pPr>
        <w:pStyle w:val="ListParagraph"/>
        <w:spacing w:before="120" w:after="0"/>
        <w:ind w:left="357"/>
        <w:contextualSpacing w:val="0"/>
        <w:jc w:val="both"/>
        <w:rPr>
          <w:rFonts w:asciiTheme="majorHAnsi" w:eastAsia="Times New Roman" w:hAnsiTheme="majorHAnsi" w:cs="Times New Roman"/>
          <w:color w:val="000000"/>
          <w:sz w:val="22"/>
          <w:szCs w:val="22"/>
          <w:lang w:eastAsia="en-AU"/>
        </w:rPr>
      </w:pPr>
      <w:r w:rsidRPr="00616ED0">
        <w:rPr>
          <w:rFonts w:asciiTheme="majorHAnsi" w:eastAsia="Times New Roman" w:hAnsiTheme="majorHAnsi" w:cs="Times New Roman"/>
          <w:color w:val="000000"/>
          <w:sz w:val="22"/>
          <w:szCs w:val="22"/>
          <w:lang w:eastAsia="en-AU"/>
        </w:rPr>
        <w:t>NSW Trade &amp; Investment (</w:t>
      </w:r>
      <w:r w:rsidR="00605ADD">
        <w:rPr>
          <w:rFonts w:asciiTheme="majorHAnsi" w:eastAsia="Times New Roman" w:hAnsiTheme="majorHAnsi" w:cs="Times New Roman"/>
          <w:color w:val="000000"/>
          <w:sz w:val="22"/>
          <w:szCs w:val="22"/>
          <w:lang w:eastAsia="en-AU"/>
        </w:rPr>
        <w:t>NSW T&amp;I)</w:t>
      </w:r>
      <w:r w:rsidRPr="00616ED0">
        <w:rPr>
          <w:rFonts w:asciiTheme="majorHAnsi" w:eastAsia="Times New Roman" w:hAnsiTheme="majorHAnsi" w:cs="Times New Roman"/>
          <w:color w:val="000000"/>
          <w:sz w:val="22"/>
          <w:szCs w:val="22"/>
          <w:lang w:eastAsia="en-AU"/>
        </w:rPr>
        <w:t>) w</w:t>
      </w:r>
      <w:r>
        <w:rPr>
          <w:rFonts w:asciiTheme="majorHAnsi" w:eastAsia="Times New Roman" w:hAnsiTheme="majorHAnsi" w:cs="Times New Roman"/>
          <w:color w:val="000000"/>
          <w:sz w:val="22"/>
          <w:szCs w:val="22"/>
          <w:lang w:eastAsia="en-AU"/>
        </w:rPr>
        <w:t>as</w:t>
      </w:r>
      <w:r w:rsidR="00605ADD">
        <w:rPr>
          <w:rFonts w:asciiTheme="majorHAnsi" w:eastAsia="Times New Roman" w:hAnsiTheme="majorHAnsi" w:cs="Times New Roman"/>
          <w:color w:val="000000"/>
          <w:sz w:val="22"/>
          <w:szCs w:val="22"/>
          <w:lang w:eastAsia="en-AU"/>
        </w:rPr>
        <w:t xml:space="preserve"> consulted. They</w:t>
      </w:r>
      <w:r w:rsidRPr="00616ED0">
        <w:rPr>
          <w:rFonts w:asciiTheme="majorHAnsi" w:eastAsia="Times New Roman" w:hAnsiTheme="majorHAnsi" w:cs="Times New Roman"/>
          <w:color w:val="000000"/>
          <w:sz w:val="22"/>
          <w:szCs w:val="22"/>
          <w:lang w:eastAsia="en-AU"/>
        </w:rPr>
        <w:t xml:space="preserve"> initially raised some concern</w:t>
      </w:r>
      <w:r w:rsidR="00605ADD">
        <w:rPr>
          <w:rFonts w:asciiTheme="majorHAnsi" w:eastAsia="Times New Roman" w:hAnsiTheme="majorHAnsi" w:cs="Times New Roman"/>
          <w:color w:val="000000"/>
          <w:sz w:val="22"/>
          <w:szCs w:val="22"/>
          <w:lang w:eastAsia="en-AU"/>
        </w:rPr>
        <w:t xml:space="preserve">s </w:t>
      </w:r>
      <w:r w:rsidR="00605ADD" w:rsidRPr="00605ADD">
        <w:rPr>
          <w:rFonts w:asciiTheme="majorHAnsi" w:eastAsia="Times New Roman" w:hAnsiTheme="majorHAnsi" w:cs="Times New Roman"/>
          <w:color w:val="000000"/>
          <w:sz w:val="22"/>
          <w:szCs w:val="22"/>
          <w:lang w:eastAsia="en-AU"/>
        </w:rPr>
        <w:t>around pote</w:t>
      </w:r>
      <w:r w:rsidR="00605ADD">
        <w:rPr>
          <w:rFonts w:asciiTheme="majorHAnsi" w:eastAsia="Times New Roman" w:hAnsiTheme="majorHAnsi" w:cs="Times New Roman"/>
          <w:color w:val="000000"/>
          <w:sz w:val="22"/>
          <w:szCs w:val="22"/>
          <w:lang w:eastAsia="en-AU"/>
        </w:rPr>
        <w:t xml:space="preserve">ntial underground coal resource within the area. </w:t>
      </w:r>
      <w:r w:rsidR="00605ADD" w:rsidRPr="00605ADD">
        <w:rPr>
          <w:rFonts w:asciiTheme="majorHAnsi" w:eastAsia="Times New Roman" w:hAnsiTheme="majorHAnsi" w:cs="Times New Roman"/>
          <w:color w:val="000000"/>
          <w:sz w:val="22"/>
          <w:szCs w:val="22"/>
          <w:lang w:eastAsia="en-AU"/>
        </w:rPr>
        <w:t xml:space="preserve">Subsequently, the discussion with the NSW T&amp;I on the basis of MRRRS and UHSRLUP, the NSW T&amp;I decided to reassess </w:t>
      </w:r>
      <w:r w:rsidR="00605ADD">
        <w:rPr>
          <w:rFonts w:asciiTheme="majorHAnsi" w:eastAsia="Times New Roman" w:hAnsiTheme="majorHAnsi" w:cs="Times New Roman"/>
          <w:color w:val="000000"/>
          <w:sz w:val="22"/>
          <w:szCs w:val="22"/>
          <w:lang w:eastAsia="en-AU"/>
        </w:rPr>
        <w:t>the regional geology and Planning Proposal.</w:t>
      </w:r>
    </w:p>
    <w:p w:rsidR="00605ADD" w:rsidRDefault="00605ADD" w:rsidP="00877A9D">
      <w:pPr>
        <w:pStyle w:val="ListParagraph"/>
        <w:spacing w:after="0"/>
        <w:ind w:left="357"/>
        <w:contextualSpacing w:val="0"/>
        <w:jc w:val="both"/>
        <w:rPr>
          <w:rFonts w:asciiTheme="majorHAnsi" w:eastAsia="Times New Roman" w:hAnsiTheme="majorHAnsi" w:cs="Times New Roman"/>
          <w:color w:val="000000"/>
          <w:sz w:val="22"/>
          <w:szCs w:val="22"/>
          <w:lang w:eastAsia="en-AU"/>
        </w:rPr>
      </w:pPr>
      <w:r w:rsidRPr="00605ADD">
        <w:rPr>
          <w:rFonts w:asciiTheme="majorHAnsi" w:eastAsia="Times New Roman" w:hAnsiTheme="majorHAnsi" w:cs="Times New Roman"/>
          <w:color w:val="000000"/>
          <w:sz w:val="22"/>
          <w:szCs w:val="22"/>
          <w:lang w:eastAsia="en-AU"/>
        </w:rPr>
        <w:t>A submission dated on 30/03/2015,</w:t>
      </w:r>
      <w:r>
        <w:rPr>
          <w:rFonts w:asciiTheme="majorHAnsi" w:eastAsia="Times New Roman" w:hAnsiTheme="majorHAnsi" w:cs="Times New Roman"/>
          <w:color w:val="000000"/>
          <w:sz w:val="22"/>
          <w:szCs w:val="22"/>
          <w:lang w:eastAsia="en-AU"/>
        </w:rPr>
        <w:t xml:space="preserve"> NSW T&amp;I </w:t>
      </w:r>
      <w:r w:rsidRPr="00605ADD">
        <w:rPr>
          <w:rFonts w:asciiTheme="majorHAnsi" w:eastAsia="Times New Roman" w:hAnsiTheme="majorHAnsi" w:cs="Times New Roman"/>
          <w:color w:val="000000"/>
          <w:sz w:val="22"/>
          <w:szCs w:val="22"/>
          <w:lang w:eastAsia="en-AU"/>
        </w:rPr>
        <w:t xml:space="preserve">advised they have no objection to the proposed rezoning </w:t>
      </w:r>
      <w:r>
        <w:rPr>
          <w:rFonts w:asciiTheme="majorHAnsi" w:eastAsia="Times New Roman" w:hAnsiTheme="majorHAnsi" w:cs="Times New Roman"/>
          <w:color w:val="000000"/>
          <w:sz w:val="22"/>
          <w:szCs w:val="22"/>
          <w:lang w:eastAsia="en-AU"/>
        </w:rPr>
        <w:t xml:space="preserve">and </w:t>
      </w:r>
      <w:r w:rsidRPr="00605ADD">
        <w:rPr>
          <w:rFonts w:asciiTheme="majorHAnsi" w:eastAsia="Times New Roman" w:hAnsiTheme="majorHAnsi" w:cs="Times New Roman"/>
          <w:color w:val="000000"/>
          <w:sz w:val="22"/>
          <w:szCs w:val="22"/>
          <w:lang w:eastAsia="en-AU"/>
        </w:rPr>
        <w:t xml:space="preserve">acknowledged that there are significant constraints to the possible extraction of coal beneath the subject site including proximity to Denman </w:t>
      </w:r>
      <w:proofErr w:type="gramStart"/>
      <w:r w:rsidRPr="00605ADD">
        <w:rPr>
          <w:rFonts w:asciiTheme="majorHAnsi" w:eastAsia="Times New Roman" w:hAnsiTheme="majorHAnsi" w:cs="Times New Roman"/>
          <w:color w:val="000000"/>
          <w:sz w:val="22"/>
          <w:szCs w:val="22"/>
          <w:lang w:eastAsia="en-AU"/>
        </w:rPr>
        <w:t>township</w:t>
      </w:r>
      <w:proofErr w:type="gramEnd"/>
      <w:r w:rsidRPr="00605ADD">
        <w:rPr>
          <w:rFonts w:asciiTheme="majorHAnsi" w:eastAsia="Times New Roman" w:hAnsiTheme="majorHAnsi" w:cs="Times New Roman"/>
          <w:color w:val="000000"/>
          <w:sz w:val="22"/>
          <w:szCs w:val="22"/>
          <w:lang w:eastAsia="en-AU"/>
        </w:rPr>
        <w:t xml:space="preserve"> and Hunter River and the presence of Equine and Viticulture CICs</w:t>
      </w:r>
      <w:r>
        <w:rPr>
          <w:rFonts w:asciiTheme="majorHAnsi" w:eastAsia="Times New Roman" w:hAnsiTheme="majorHAnsi" w:cs="Times New Roman"/>
          <w:color w:val="000000"/>
          <w:sz w:val="22"/>
          <w:szCs w:val="22"/>
          <w:lang w:eastAsia="en-AU"/>
        </w:rPr>
        <w:t>.</w:t>
      </w:r>
    </w:p>
    <w:p w:rsidR="00605ADD" w:rsidRPr="00877A9D" w:rsidRDefault="00605ADD" w:rsidP="00877A9D">
      <w:pPr>
        <w:pStyle w:val="ListParagraph"/>
        <w:numPr>
          <w:ilvl w:val="0"/>
          <w:numId w:val="43"/>
        </w:numPr>
        <w:spacing w:before="240" w:after="120"/>
        <w:ind w:left="357" w:hanging="357"/>
        <w:contextualSpacing w:val="0"/>
        <w:jc w:val="both"/>
        <w:rPr>
          <w:rFonts w:asciiTheme="majorHAnsi" w:eastAsia="Times New Roman" w:hAnsiTheme="majorHAnsi" w:cs="Times New Roman"/>
          <w:b/>
          <w:i/>
          <w:color w:val="000000"/>
          <w:sz w:val="22"/>
          <w:szCs w:val="22"/>
          <w:lang w:eastAsia="en-AU"/>
        </w:rPr>
      </w:pPr>
      <w:r w:rsidRPr="00877A9D">
        <w:rPr>
          <w:rFonts w:asciiTheme="majorHAnsi" w:eastAsia="Times New Roman" w:hAnsiTheme="majorHAnsi" w:cs="Times New Roman"/>
          <w:b/>
          <w:i/>
          <w:color w:val="000000"/>
          <w:sz w:val="22"/>
          <w:szCs w:val="22"/>
          <w:lang w:eastAsia="en-AU"/>
        </w:rPr>
        <w:t>Office of Environment &amp; Heritage</w:t>
      </w:r>
    </w:p>
    <w:p w:rsidR="00DF783D" w:rsidRDefault="00605ADD" w:rsidP="00605ADD">
      <w:pPr>
        <w:pStyle w:val="ListParagraph"/>
        <w:spacing w:before="240" w:after="0"/>
        <w:ind w:left="360"/>
        <w:jc w:val="both"/>
        <w:rPr>
          <w:rFonts w:asciiTheme="majorHAnsi" w:eastAsia="Times New Roman" w:hAnsiTheme="majorHAnsi" w:cs="Times New Roman"/>
          <w:color w:val="000000"/>
          <w:sz w:val="22"/>
          <w:szCs w:val="22"/>
          <w:lang w:eastAsia="en-AU"/>
        </w:rPr>
      </w:pPr>
      <w:r w:rsidRPr="00605ADD">
        <w:rPr>
          <w:rFonts w:asciiTheme="majorHAnsi" w:eastAsia="Times New Roman" w:hAnsiTheme="majorHAnsi" w:cs="Times New Roman"/>
          <w:color w:val="000000"/>
          <w:sz w:val="22"/>
          <w:szCs w:val="22"/>
          <w:lang w:eastAsia="en-AU"/>
        </w:rPr>
        <w:t xml:space="preserve">There has been a previous Aboriginal site investigation that identified some isolated sites and these have been registered with AHIMS. Consultation with OEH in December 2014 recommended, given the time </w:t>
      </w:r>
      <w:proofErr w:type="spellStart"/>
      <w:r w:rsidRPr="00605ADD">
        <w:rPr>
          <w:rFonts w:asciiTheme="majorHAnsi" w:eastAsia="Times New Roman" w:hAnsiTheme="majorHAnsi" w:cs="Times New Roman"/>
          <w:color w:val="000000"/>
          <w:sz w:val="22"/>
          <w:szCs w:val="22"/>
          <w:lang w:eastAsia="en-AU"/>
        </w:rPr>
        <w:t>lapsed</w:t>
      </w:r>
      <w:proofErr w:type="spellEnd"/>
      <w:r w:rsidRPr="00605ADD">
        <w:rPr>
          <w:rFonts w:asciiTheme="majorHAnsi" w:eastAsia="Times New Roman" w:hAnsiTheme="majorHAnsi" w:cs="Times New Roman"/>
          <w:color w:val="000000"/>
          <w:sz w:val="22"/>
          <w:szCs w:val="22"/>
          <w:lang w:eastAsia="en-AU"/>
        </w:rPr>
        <w:t xml:space="preserve"> since the previous assessment that a Due Diligence Assessment be undertaken to establish what is currently on site.  This assessment found 44 artefacts, all of which were found in exposed areas.  </w:t>
      </w:r>
    </w:p>
    <w:p w:rsidR="00DF783D" w:rsidRDefault="00DF783D" w:rsidP="00605ADD">
      <w:pPr>
        <w:pStyle w:val="ListParagraph"/>
        <w:spacing w:before="240" w:after="0"/>
        <w:ind w:left="360"/>
        <w:jc w:val="both"/>
        <w:rPr>
          <w:rFonts w:asciiTheme="majorHAnsi" w:eastAsia="Times New Roman" w:hAnsiTheme="majorHAnsi" w:cs="Times New Roman"/>
          <w:color w:val="000000"/>
          <w:sz w:val="22"/>
          <w:szCs w:val="22"/>
          <w:lang w:eastAsia="en-AU"/>
        </w:rPr>
      </w:pPr>
    </w:p>
    <w:p w:rsidR="00605ADD" w:rsidRPr="00877A9D" w:rsidRDefault="00DF783D" w:rsidP="00877A9D">
      <w:pPr>
        <w:pStyle w:val="ListParagraph"/>
        <w:spacing w:before="240" w:after="0"/>
        <w:ind w:left="360"/>
        <w:jc w:val="both"/>
        <w:rPr>
          <w:rFonts w:asciiTheme="majorHAnsi" w:eastAsia="Times New Roman" w:hAnsiTheme="majorHAnsi" w:cs="Times New Roman"/>
          <w:color w:val="000000"/>
          <w:sz w:val="22"/>
          <w:szCs w:val="22"/>
          <w:lang w:eastAsia="en-AU"/>
        </w:rPr>
      </w:pPr>
      <w:r w:rsidRPr="00DF783D">
        <w:rPr>
          <w:rFonts w:asciiTheme="majorHAnsi" w:eastAsia="Times New Roman" w:hAnsiTheme="majorHAnsi" w:cs="Times New Roman"/>
          <w:color w:val="000000"/>
          <w:sz w:val="22"/>
          <w:szCs w:val="22"/>
          <w:lang w:eastAsia="en-AU"/>
        </w:rPr>
        <w:t>On review of the Aboriginal Heritage Assessment OEH requested some minor changes to the report to clarify that it was a preliminary assessment. Subsequently, the report was updated and referred it back to OEH.</w:t>
      </w:r>
      <w:r>
        <w:rPr>
          <w:rFonts w:asciiTheme="majorHAnsi" w:eastAsia="Times New Roman" w:hAnsiTheme="majorHAnsi" w:cs="Times New Roman"/>
          <w:color w:val="000000"/>
          <w:sz w:val="22"/>
          <w:szCs w:val="22"/>
          <w:lang w:eastAsia="en-AU"/>
        </w:rPr>
        <w:t xml:space="preserve"> </w:t>
      </w:r>
      <w:r w:rsidRPr="00DF783D">
        <w:rPr>
          <w:rFonts w:asciiTheme="majorHAnsi" w:eastAsia="Times New Roman" w:hAnsiTheme="majorHAnsi" w:cs="Times New Roman"/>
          <w:color w:val="000000"/>
          <w:sz w:val="22"/>
          <w:szCs w:val="22"/>
          <w:lang w:eastAsia="en-AU"/>
        </w:rPr>
        <w:t>The submission dated 08/09/</w:t>
      </w:r>
      <w:proofErr w:type="gramStart"/>
      <w:r w:rsidRPr="00DF783D">
        <w:rPr>
          <w:rFonts w:asciiTheme="majorHAnsi" w:eastAsia="Times New Roman" w:hAnsiTheme="majorHAnsi" w:cs="Times New Roman"/>
          <w:color w:val="000000"/>
          <w:sz w:val="22"/>
          <w:szCs w:val="22"/>
          <w:lang w:eastAsia="en-AU"/>
        </w:rPr>
        <w:t>2015,</w:t>
      </w:r>
      <w:proofErr w:type="gramEnd"/>
      <w:r w:rsidRPr="00DF783D">
        <w:rPr>
          <w:rFonts w:asciiTheme="majorHAnsi" w:eastAsia="Times New Roman" w:hAnsiTheme="majorHAnsi" w:cs="Times New Roman"/>
          <w:color w:val="000000"/>
          <w:sz w:val="22"/>
          <w:szCs w:val="22"/>
          <w:lang w:eastAsia="en-AU"/>
        </w:rPr>
        <w:t xml:space="preserve"> OEH indicated that they are satisfied with the Preliminary Aboriginal Heritage Assessment and further in depth assessment in accordance with the OEH requirements and consultation with the Aboriginal stakeholders be conducted prior to any future development of the site, following the rezoning stage.</w:t>
      </w:r>
    </w:p>
    <w:p w:rsidR="00616ED0" w:rsidRPr="00877A9D" w:rsidRDefault="00605ADD" w:rsidP="00877A9D">
      <w:pPr>
        <w:pStyle w:val="ListParagraph"/>
        <w:numPr>
          <w:ilvl w:val="0"/>
          <w:numId w:val="43"/>
        </w:numPr>
        <w:spacing w:before="240" w:after="120"/>
        <w:ind w:left="357" w:hanging="357"/>
        <w:contextualSpacing w:val="0"/>
        <w:jc w:val="both"/>
        <w:rPr>
          <w:rFonts w:asciiTheme="majorHAnsi" w:eastAsia="Times New Roman" w:hAnsiTheme="majorHAnsi" w:cs="Times New Roman"/>
          <w:b/>
          <w:i/>
          <w:color w:val="000000"/>
          <w:sz w:val="22"/>
          <w:szCs w:val="22"/>
          <w:lang w:eastAsia="en-AU"/>
        </w:rPr>
      </w:pPr>
      <w:r w:rsidRPr="00877A9D">
        <w:rPr>
          <w:rFonts w:asciiTheme="majorHAnsi" w:eastAsia="Times New Roman" w:hAnsiTheme="majorHAnsi" w:cs="Times New Roman"/>
          <w:b/>
          <w:i/>
          <w:color w:val="000000"/>
          <w:sz w:val="22"/>
          <w:szCs w:val="22"/>
          <w:lang w:eastAsia="en-AU"/>
        </w:rPr>
        <w:t>Wanaruah Aboriginal Land Council</w:t>
      </w:r>
    </w:p>
    <w:p w:rsidR="00DF783D" w:rsidRDefault="00DF783D" w:rsidP="00DF783D">
      <w:pPr>
        <w:spacing w:after="0"/>
        <w:ind w:left="360"/>
        <w:jc w:val="both"/>
        <w:rPr>
          <w:rFonts w:asciiTheme="majorHAnsi" w:eastAsia="Times New Roman" w:hAnsiTheme="majorHAnsi" w:cs="Times New Roman"/>
          <w:color w:val="000000"/>
          <w:sz w:val="22"/>
          <w:szCs w:val="22"/>
          <w:lang w:eastAsia="en-AU"/>
        </w:rPr>
      </w:pPr>
      <w:r w:rsidRPr="00DF783D">
        <w:rPr>
          <w:rFonts w:asciiTheme="majorHAnsi" w:eastAsia="Times New Roman" w:hAnsiTheme="majorHAnsi" w:cs="Times New Roman"/>
          <w:color w:val="000000"/>
          <w:sz w:val="22"/>
          <w:szCs w:val="22"/>
          <w:lang w:eastAsia="en-AU"/>
        </w:rPr>
        <w:t>W</w:t>
      </w:r>
      <w:r>
        <w:rPr>
          <w:rFonts w:asciiTheme="majorHAnsi" w:eastAsia="Times New Roman" w:hAnsiTheme="majorHAnsi" w:cs="Times New Roman"/>
          <w:color w:val="000000"/>
          <w:sz w:val="22"/>
          <w:szCs w:val="22"/>
          <w:lang w:eastAsia="en-AU"/>
        </w:rPr>
        <w:t xml:space="preserve">anaruah </w:t>
      </w:r>
      <w:r w:rsidRPr="00DF783D">
        <w:rPr>
          <w:rFonts w:asciiTheme="majorHAnsi" w:eastAsia="Times New Roman" w:hAnsiTheme="majorHAnsi" w:cs="Times New Roman"/>
          <w:color w:val="000000"/>
          <w:sz w:val="22"/>
          <w:szCs w:val="22"/>
          <w:lang w:eastAsia="en-AU"/>
        </w:rPr>
        <w:t>LALC accepts the Preliminary Heritage Assessment as a preliminary study and sees no impediment to the rezoning.</w:t>
      </w:r>
      <w:r>
        <w:rPr>
          <w:rFonts w:asciiTheme="majorHAnsi" w:eastAsia="Times New Roman" w:hAnsiTheme="majorHAnsi" w:cs="Times New Roman"/>
          <w:color w:val="000000"/>
          <w:sz w:val="22"/>
          <w:szCs w:val="22"/>
          <w:lang w:eastAsia="en-AU"/>
        </w:rPr>
        <w:t xml:space="preserve"> </w:t>
      </w:r>
      <w:r w:rsidRPr="00DF783D">
        <w:rPr>
          <w:rFonts w:asciiTheme="majorHAnsi" w:eastAsia="Times New Roman" w:hAnsiTheme="majorHAnsi" w:cs="Times New Roman"/>
          <w:color w:val="000000"/>
          <w:sz w:val="22"/>
          <w:szCs w:val="22"/>
          <w:lang w:eastAsia="en-AU"/>
        </w:rPr>
        <w:t xml:space="preserve">WLALC recommends </w:t>
      </w:r>
      <w:proofErr w:type="gramStart"/>
      <w:r w:rsidRPr="00DF783D">
        <w:rPr>
          <w:rFonts w:asciiTheme="majorHAnsi" w:eastAsia="Times New Roman" w:hAnsiTheme="majorHAnsi" w:cs="Times New Roman"/>
          <w:color w:val="000000"/>
          <w:sz w:val="22"/>
          <w:szCs w:val="22"/>
          <w:lang w:eastAsia="en-AU"/>
        </w:rPr>
        <w:t>to undertake</w:t>
      </w:r>
      <w:proofErr w:type="gramEnd"/>
      <w:r w:rsidRPr="00DF783D">
        <w:rPr>
          <w:rFonts w:asciiTheme="majorHAnsi" w:eastAsia="Times New Roman" w:hAnsiTheme="majorHAnsi" w:cs="Times New Roman"/>
          <w:color w:val="000000"/>
          <w:sz w:val="22"/>
          <w:szCs w:val="22"/>
          <w:lang w:eastAsia="en-AU"/>
        </w:rPr>
        <w:t xml:space="preserve"> a full and comprehensive cultural heritage study for the site in consultation with the Aboriginal community regarding the cultural value of the area prior to </w:t>
      </w:r>
      <w:r w:rsidR="00877A9D">
        <w:rPr>
          <w:rFonts w:asciiTheme="majorHAnsi" w:eastAsia="Times New Roman" w:hAnsiTheme="majorHAnsi" w:cs="Times New Roman"/>
          <w:color w:val="000000"/>
          <w:sz w:val="22"/>
          <w:szCs w:val="22"/>
          <w:lang w:eastAsia="en-AU"/>
        </w:rPr>
        <w:t>any future development planning of the site.</w:t>
      </w:r>
    </w:p>
    <w:p w:rsidR="00C16FED" w:rsidRDefault="00C16FED" w:rsidP="00C16FED">
      <w:pPr>
        <w:spacing w:before="240" w:after="240"/>
        <w:jc w:val="both"/>
        <w:rPr>
          <w:rFonts w:asciiTheme="majorHAnsi" w:eastAsia="Times New Roman" w:hAnsiTheme="majorHAnsi" w:cs="Times New Roman"/>
          <w:color w:val="000000"/>
          <w:sz w:val="22"/>
          <w:szCs w:val="22"/>
          <w:lang w:eastAsia="en-AU"/>
        </w:rPr>
      </w:pPr>
      <w:r w:rsidRPr="001F02FD">
        <w:rPr>
          <w:rFonts w:asciiTheme="majorHAnsi" w:eastAsia="Times New Roman" w:hAnsiTheme="majorHAnsi" w:cs="Times New Roman"/>
          <w:color w:val="000000"/>
          <w:sz w:val="22"/>
          <w:szCs w:val="22"/>
          <w:lang w:eastAsia="en-AU"/>
        </w:rPr>
        <w:t xml:space="preserve">A copy of each of the studies and the indicative concept lot layout plan are included in </w:t>
      </w:r>
      <w:r w:rsidRPr="001F02FD">
        <w:rPr>
          <w:rFonts w:asciiTheme="majorHAnsi" w:eastAsia="Times New Roman" w:hAnsiTheme="majorHAnsi" w:cs="Times New Roman"/>
          <w:b/>
          <w:color w:val="000000"/>
          <w:sz w:val="22"/>
          <w:szCs w:val="22"/>
          <w:lang w:eastAsia="en-AU"/>
        </w:rPr>
        <w:t xml:space="preserve">Appendix </w:t>
      </w:r>
      <w:r w:rsidR="008B3B98" w:rsidRPr="001F02FD">
        <w:rPr>
          <w:rFonts w:asciiTheme="majorHAnsi" w:eastAsia="Times New Roman" w:hAnsiTheme="majorHAnsi" w:cs="Times New Roman"/>
          <w:b/>
          <w:color w:val="000000"/>
          <w:sz w:val="22"/>
          <w:szCs w:val="22"/>
          <w:lang w:eastAsia="en-AU"/>
        </w:rPr>
        <w:t>4</w:t>
      </w:r>
      <w:r w:rsidRPr="001F02FD">
        <w:rPr>
          <w:rFonts w:asciiTheme="majorHAnsi" w:eastAsia="Times New Roman" w:hAnsiTheme="majorHAnsi" w:cs="Times New Roman"/>
          <w:color w:val="000000"/>
          <w:sz w:val="22"/>
          <w:szCs w:val="22"/>
          <w:lang w:eastAsia="en-AU"/>
        </w:rPr>
        <w:t xml:space="preserve"> to this report. </w:t>
      </w:r>
    </w:p>
    <w:p w:rsidR="0088028A" w:rsidRDefault="0088028A" w:rsidP="00C16FED">
      <w:pPr>
        <w:spacing w:before="240" w:after="240"/>
        <w:jc w:val="both"/>
        <w:rPr>
          <w:rFonts w:asciiTheme="majorHAnsi" w:eastAsia="Times New Roman" w:hAnsiTheme="majorHAnsi" w:cs="Times New Roman"/>
          <w:color w:val="000000"/>
          <w:sz w:val="22"/>
          <w:szCs w:val="22"/>
          <w:lang w:eastAsia="en-AU"/>
        </w:rPr>
      </w:pPr>
    </w:p>
    <w:p w:rsidR="0088028A" w:rsidRDefault="0088028A" w:rsidP="00C16FED">
      <w:pPr>
        <w:spacing w:before="240" w:after="240"/>
        <w:jc w:val="both"/>
        <w:rPr>
          <w:rFonts w:asciiTheme="majorHAnsi" w:eastAsia="Times New Roman" w:hAnsiTheme="majorHAnsi" w:cs="Times New Roman"/>
          <w:color w:val="000000"/>
          <w:sz w:val="22"/>
          <w:szCs w:val="22"/>
          <w:lang w:eastAsia="en-AU"/>
        </w:rPr>
      </w:pPr>
    </w:p>
    <w:p w:rsidR="000E275D" w:rsidRPr="005941A9" w:rsidRDefault="009757DA" w:rsidP="000E275D">
      <w:pPr>
        <w:widowControl w:val="0"/>
        <w:tabs>
          <w:tab w:val="left" w:pos="992"/>
        </w:tabs>
        <w:suppressAutoHyphens/>
        <w:autoSpaceDE w:val="0"/>
        <w:autoSpaceDN w:val="0"/>
        <w:adjustRightInd w:val="0"/>
        <w:spacing w:before="340" w:after="113" w:line="360" w:lineRule="atLeast"/>
        <w:textAlignment w:val="center"/>
        <w:rPr>
          <w:rFonts w:ascii="Trebuchet MS" w:eastAsia="Times New Roman" w:hAnsi="Trebuchet MS" w:cs="Arial"/>
          <w:b/>
          <w:lang w:eastAsia="en-AU"/>
        </w:rPr>
      </w:pPr>
      <w:r w:rsidRPr="005941A9">
        <w:rPr>
          <w:rFonts w:ascii="Trebuchet MS" w:eastAsia="Times New Roman" w:hAnsi="Trebuchet MS" w:cs="Arial"/>
          <w:b/>
          <w:lang w:eastAsia="en-AU"/>
        </w:rPr>
        <w:lastRenderedPageBreak/>
        <w:t>3.4</w:t>
      </w:r>
      <w:r w:rsidRPr="005941A9">
        <w:rPr>
          <w:rFonts w:ascii="Trebuchet MS" w:eastAsia="Times New Roman" w:hAnsi="Trebuchet MS" w:cs="Arial"/>
          <w:b/>
          <w:lang w:eastAsia="en-AU"/>
        </w:rPr>
        <w:tab/>
      </w:r>
      <w:r w:rsidR="000E275D" w:rsidRPr="005941A9">
        <w:rPr>
          <w:rFonts w:ascii="Trebuchet MS" w:eastAsia="Times New Roman" w:hAnsi="Trebuchet MS" w:cs="Arial"/>
          <w:b/>
          <w:lang w:eastAsia="en-AU"/>
        </w:rPr>
        <w:t>Ma</w:t>
      </w:r>
      <w:bookmarkStart w:id="11" w:name="mapping"/>
      <w:bookmarkEnd w:id="11"/>
      <w:r w:rsidR="000E275D" w:rsidRPr="005941A9">
        <w:rPr>
          <w:rFonts w:ascii="Trebuchet MS" w:eastAsia="Times New Roman" w:hAnsi="Trebuchet MS" w:cs="Arial"/>
          <w:b/>
          <w:lang w:eastAsia="en-AU"/>
        </w:rPr>
        <w:t>pping</w:t>
      </w:r>
    </w:p>
    <w:p w:rsidR="00200BDC" w:rsidRDefault="00200BDC" w:rsidP="005813CD">
      <w:pPr>
        <w:spacing w:before="240" w:after="240" w:line="280" w:lineRule="exact"/>
        <w:contextualSpacing/>
        <w:jc w:val="both"/>
        <w:rPr>
          <w:rFonts w:asciiTheme="majorHAnsi" w:eastAsia="Times New Roman" w:hAnsiTheme="majorHAnsi" w:cs="Times New Roman"/>
          <w:color w:val="000000"/>
          <w:sz w:val="22"/>
          <w:szCs w:val="22"/>
          <w:lang w:eastAsia="en-AU"/>
        </w:rPr>
      </w:pPr>
      <w:r w:rsidRPr="009420FB">
        <w:rPr>
          <w:rFonts w:asciiTheme="majorHAnsi" w:eastAsia="Times New Roman" w:hAnsiTheme="majorHAnsi" w:cs="Times New Roman"/>
          <w:color w:val="000000"/>
          <w:sz w:val="22"/>
          <w:szCs w:val="22"/>
          <w:lang w:eastAsia="en-AU"/>
        </w:rPr>
        <w:t xml:space="preserve">To achieve the intent of the </w:t>
      </w:r>
      <w:r w:rsidR="006C7B49">
        <w:rPr>
          <w:rFonts w:asciiTheme="majorHAnsi" w:eastAsia="Times New Roman" w:hAnsiTheme="majorHAnsi" w:cs="Times New Roman"/>
          <w:color w:val="000000"/>
          <w:sz w:val="22"/>
          <w:szCs w:val="22"/>
          <w:lang w:eastAsia="en-AU"/>
        </w:rPr>
        <w:t>Planning Proposal</w:t>
      </w:r>
      <w:r w:rsidRPr="009420FB">
        <w:rPr>
          <w:rFonts w:asciiTheme="majorHAnsi" w:eastAsia="Times New Roman" w:hAnsiTheme="majorHAnsi" w:cs="Times New Roman"/>
          <w:color w:val="000000"/>
          <w:sz w:val="22"/>
          <w:szCs w:val="22"/>
          <w:lang w:eastAsia="en-AU"/>
        </w:rPr>
        <w:t xml:space="preserve">, it is proposed to amend the following LEP maps. </w:t>
      </w:r>
    </w:p>
    <w:p w:rsidR="001F02FD" w:rsidRPr="009420FB" w:rsidRDefault="001F02FD" w:rsidP="005813CD">
      <w:pPr>
        <w:spacing w:before="240" w:after="240" w:line="280" w:lineRule="exact"/>
        <w:contextualSpacing/>
        <w:jc w:val="both"/>
        <w:rPr>
          <w:rFonts w:asciiTheme="majorHAnsi" w:eastAsia="Times New Roman" w:hAnsiTheme="majorHAnsi" w:cs="Times New Roman"/>
          <w:color w:val="000000"/>
          <w:sz w:val="22"/>
          <w:szCs w:val="22"/>
          <w:lang w:eastAsia="en-AU"/>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A0" w:firstRow="1" w:lastRow="0" w:firstColumn="1" w:lastColumn="0" w:noHBand="0" w:noVBand="0"/>
      </w:tblPr>
      <w:tblGrid>
        <w:gridCol w:w="1986"/>
        <w:gridCol w:w="3193"/>
        <w:gridCol w:w="3193"/>
      </w:tblGrid>
      <w:tr w:rsidR="00DF783D" w:rsidRPr="009420FB" w:rsidTr="0016263B">
        <w:trPr>
          <w:trHeight w:val="121"/>
        </w:trPr>
        <w:tc>
          <w:tcPr>
            <w:tcW w:w="1986" w:type="dxa"/>
            <w:vMerge w:val="restart"/>
            <w:shd w:val="clear" w:color="auto" w:fill="D9D9D9" w:themeFill="background1" w:themeFillShade="D9"/>
            <w:vAlign w:val="center"/>
          </w:tcPr>
          <w:p w:rsidR="00DF783D" w:rsidRPr="00D34EC0" w:rsidRDefault="00DF783D" w:rsidP="0016263B">
            <w:pPr>
              <w:spacing w:before="120" w:after="120"/>
              <w:jc w:val="center"/>
              <w:rPr>
                <w:rFonts w:asciiTheme="majorHAnsi" w:hAnsiTheme="majorHAnsi"/>
                <w:b/>
                <w:caps/>
                <w:sz w:val="18"/>
                <w:szCs w:val="16"/>
                <w:lang w:val="en-GB"/>
              </w:rPr>
            </w:pPr>
            <w:r w:rsidRPr="00D34EC0">
              <w:rPr>
                <w:rFonts w:asciiTheme="majorHAnsi" w:hAnsiTheme="majorHAnsi"/>
                <w:b/>
                <w:caps/>
                <w:sz w:val="18"/>
                <w:szCs w:val="16"/>
                <w:lang w:val="en-GB"/>
              </w:rPr>
              <w:t>Map Sheet</w:t>
            </w:r>
          </w:p>
        </w:tc>
        <w:tc>
          <w:tcPr>
            <w:tcW w:w="6386" w:type="dxa"/>
            <w:gridSpan w:val="2"/>
            <w:shd w:val="clear" w:color="auto" w:fill="D9D9D9" w:themeFill="background1" w:themeFillShade="D9"/>
            <w:vAlign w:val="bottom"/>
          </w:tcPr>
          <w:p w:rsidR="00DF783D" w:rsidRPr="00D34EC0" w:rsidRDefault="00DF783D" w:rsidP="0016263B">
            <w:pPr>
              <w:spacing w:before="120" w:after="120"/>
              <w:jc w:val="center"/>
              <w:rPr>
                <w:rFonts w:asciiTheme="majorHAnsi" w:hAnsiTheme="majorHAnsi"/>
                <w:b/>
                <w:caps/>
                <w:sz w:val="18"/>
                <w:szCs w:val="16"/>
                <w:lang w:val="en-GB"/>
              </w:rPr>
            </w:pPr>
            <w:r w:rsidRPr="00D34EC0">
              <w:rPr>
                <w:rFonts w:asciiTheme="majorHAnsi" w:hAnsiTheme="majorHAnsi"/>
                <w:b/>
                <w:caps/>
                <w:sz w:val="18"/>
                <w:szCs w:val="16"/>
                <w:lang w:val="en-GB"/>
              </w:rPr>
              <w:t>Map Identification Number</w:t>
            </w:r>
          </w:p>
        </w:tc>
      </w:tr>
      <w:tr w:rsidR="00DF783D" w:rsidRPr="009420FB" w:rsidTr="004533EE">
        <w:trPr>
          <w:trHeight w:val="121"/>
        </w:trPr>
        <w:tc>
          <w:tcPr>
            <w:tcW w:w="1986" w:type="dxa"/>
            <w:vMerge/>
            <w:shd w:val="clear" w:color="auto" w:fill="D9D9D9" w:themeFill="background1" w:themeFillShade="D9"/>
            <w:vAlign w:val="bottom"/>
          </w:tcPr>
          <w:p w:rsidR="00DF783D" w:rsidRPr="00D34EC0" w:rsidRDefault="00DF783D" w:rsidP="00D34EC0">
            <w:pPr>
              <w:spacing w:before="120" w:after="120"/>
              <w:rPr>
                <w:rFonts w:asciiTheme="majorHAnsi" w:hAnsiTheme="majorHAnsi"/>
                <w:b/>
                <w:caps/>
                <w:sz w:val="18"/>
                <w:szCs w:val="16"/>
                <w:lang w:val="en-GB"/>
              </w:rPr>
            </w:pPr>
          </w:p>
        </w:tc>
        <w:tc>
          <w:tcPr>
            <w:tcW w:w="3193" w:type="dxa"/>
            <w:shd w:val="clear" w:color="auto" w:fill="D9D9D9" w:themeFill="background1" w:themeFillShade="D9"/>
            <w:vAlign w:val="bottom"/>
          </w:tcPr>
          <w:p w:rsidR="00DF783D" w:rsidRPr="00D34EC0" w:rsidRDefault="00DF783D" w:rsidP="0016263B">
            <w:pPr>
              <w:spacing w:before="120" w:after="120"/>
              <w:jc w:val="center"/>
              <w:rPr>
                <w:rFonts w:asciiTheme="majorHAnsi" w:hAnsiTheme="majorHAnsi"/>
                <w:b/>
                <w:caps/>
                <w:sz w:val="18"/>
                <w:szCs w:val="16"/>
                <w:lang w:val="en-GB"/>
              </w:rPr>
            </w:pPr>
            <w:r>
              <w:rPr>
                <w:rFonts w:asciiTheme="majorHAnsi" w:hAnsiTheme="majorHAnsi"/>
                <w:b/>
                <w:caps/>
                <w:sz w:val="18"/>
                <w:szCs w:val="16"/>
                <w:lang w:val="en-GB"/>
              </w:rPr>
              <w:t>Current Map sheets</w:t>
            </w:r>
          </w:p>
        </w:tc>
        <w:tc>
          <w:tcPr>
            <w:tcW w:w="3193" w:type="dxa"/>
            <w:shd w:val="clear" w:color="auto" w:fill="D9D9D9" w:themeFill="background1" w:themeFillShade="D9"/>
            <w:vAlign w:val="bottom"/>
          </w:tcPr>
          <w:p w:rsidR="00DF783D" w:rsidRPr="00D34EC0" w:rsidRDefault="00DF783D" w:rsidP="0016263B">
            <w:pPr>
              <w:spacing w:before="120" w:after="120"/>
              <w:jc w:val="center"/>
              <w:rPr>
                <w:rFonts w:asciiTheme="majorHAnsi" w:hAnsiTheme="majorHAnsi"/>
                <w:b/>
                <w:caps/>
                <w:sz w:val="18"/>
                <w:szCs w:val="16"/>
                <w:lang w:val="en-GB"/>
              </w:rPr>
            </w:pPr>
            <w:r>
              <w:rPr>
                <w:rFonts w:asciiTheme="majorHAnsi" w:hAnsiTheme="majorHAnsi"/>
                <w:b/>
                <w:caps/>
                <w:sz w:val="18"/>
                <w:szCs w:val="16"/>
                <w:lang w:val="en-GB"/>
              </w:rPr>
              <w:t>proposed map sheets</w:t>
            </w:r>
          </w:p>
        </w:tc>
      </w:tr>
      <w:tr w:rsidR="0016263B" w:rsidRPr="009420FB" w:rsidTr="0016263B">
        <w:trPr>
          <w:trHeight w:val="342"/>
        </w:trPr>
        <w:tc>
          <w:tcPr>
            <w:tcW w:w="1986" w:type="dxa"/>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Land Zoning Map</w:t>
            </w:r>
          </w:p>
          <w:p w:rsidR="0016263B" w:rsidRPr="00BF2EF7" w:rsidRDefault="0016263B" w:rsidP="0016263B">
            <w:pPr>
              <w:spacing w:before="120" w:after="120"/>
              <w:rPr>
                <w:rFonts w:asciiTheme="majorHAnsi" w:hAnsiTheme="majorHAnsi"/>
                <w:sz w:val="18"/>
                <w:szCs w:val="16"/>
                <w:lang w:val="en-GB"/>
              </w:rPr>
            </w:pP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5650_COM_LZN_005_080_20120328</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5650_COM_LZN_005B_020_20140516</w:t>
            </w: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5650_COM_LZN_005_080_20150609</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5650_COM_LZN_005B_020_20150609</w:t>
            </w:r>
          </w:p>
        </w:tc>
      </w:tr>
      <w:tr w:rsidR="0016263B" w:rsidRPr="009420FB" w:rsidTr="0016263B">
        <w:trPr>
          <w:trHeight w:val="342"/>
        </w:trPr>
        <w:tc>
          <w:tcPr>
            <w:tcW w:w="1986" w:type="dxa"/>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Lot Size Map</w:t>
            </w: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5650_COM_LSZ_005_080_20120328</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5650_COM_LSZ_005B_020_20131220</w:t>
            </w: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5650_COM_LSZ_005_080_20150609</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5650_COM_LSZ_005B_020_20150609</w:t>
            </w:r>
          </w:p>
        </w:tc>
      </w:tr>
      <w:tr w:rsidR="0016263B" w:rsidRPr="009420FB" w:rsidTr="0016263B">
        <w:trPr>
          <w:trHeight w:val="342"/>
        </w:trPr>
        <w:tc>
          <w:tcPr>
            <w:tcW w:w="1986" w:type="dxa"/>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Height of Building Map</w:t>
            </w: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5650_COM_HOB_005_080_20120328</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5650_COM_HOB_005B_020_20140106</w:t>
            </w:r>
          </w:p>
        </w:tc>
        <w:tc>
          <w:tcPr>
            <w:tcW w:w="3193" w:type="dxa"/>
            <w:vAlign w:val="center"/>
          </w:tcPr>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5650_COM_HOB_005_080_20150609</w:t>
            </w:r>
          </w:p>
          <w:p w:rsidR="0016263B" w:rsidRPr="00BF2EF7" w:rsidRDefault="0016263B" w:rsidP="0016263B">
            <w:pPr>
              <w:spacing w:before="120" w:after="120"/>
              <w:rPr>
                <w:rFonts w:asciiTheme="majorHAnsi" w:hAnsiTheme="majorHAnsi"/>
                <w:sz w:val="18"/>
                <w:szCs w:val="16"/>
                <w:lang w:val="en-GB"/>
              </w:rPr>
            </w:pPr>
            <w:r w:rsidRPr="00BF2EF7">
              <w:rPr>
                <w:rFonts w:asciiTheme="majorHAnsi" w:hAnsiTheme="majorHAnsi"/>
                <w:sz w:val="18"/>
                <w:szCs w:val="16"/>
                <w:lang w:val="en-GB"/>
              </w:rPr>
              <w:t>5650_COM_HOB_005B_020_20150609</w:t>
            </w:r>
          </w:p>
        </w:tc>
      </w:tr>
      <w:tr w:rsidR="005C3C96" w:rsidRPr="009420FB" w:rsidTr="0016263B">
        <w:trPr>
          <w:trHeight w:val="342"/>
        </w:trPr>
        <w:tc>
          <w:tcPr>
            <w:tcW w:w="1986" w:type="dxa"/>
          </w:tcPr>
          <w:p w:rsidR="005C3C96" w:rsidRPr="00BF2EF7" w:rsidRDefault="005C3C96" w:rsidP="005C3C96">
            <w:pPr>
              <w:spacing w:before="120" w:after="120"/>
              <w:rPr>
                <w:rFonts w:asciiTheme="majorHAnsi" w:hAnsiTheme="majorHAnsi"/>
                <w:sz w:val="18"/>
                <w:szCs w:val="16"/>
                <w:lang w:val="en-GB"/>
              </w:rPr>
            </w:pPr>
            <w:r>
              <w:rPr>
                <w:rFonts w:asciiTheme="majorHAnsi" w:hAnsiTheme="majorHAnsi"/>
                <w:sz w:val="18"/>
                <w:szCs w:val="16"/>
                <w:lang w:val="en-GB"/>
              </w:rPr>
              <w:t>Urban Release Area Map</w:t>
            </w:r>
          </w:p>
        </w:tc>
        <w:tc>
          <w:tcPr>
            <w:tcW w:w="3193" w:type="dxa"/>
            <w:vAlign w:val="center"/>
          </w:tcPr>
          <w:p w:rsidR="005C3C96" w:rsidRPr="00BF2EF7" w:rsidRDefault="005C3C96" w:rsidP="0016263B">
            <w:pPr>
              <w:spacing w:before="120" w:after="120"/>
              <w:rPr>
                <w:rFonts w:asciiTheme="majorHAnsi" w:hAnsiTheme="majorHAnsi"/>
                <w:sz w:val="18"/>
                <w:szCs w:val="16"/>
                <w:lang w:val="en-GB"/>
              </w:rPr>
            </w:pPr>
            <w:r w:rsidRPr="005C3C96">
              <w:rPr>
                <w:rFonts w:asciiTheme="majorHAnsi" w:hAnsiTheme="majorHAnsi"/>
                <w:sz w:val="18"/>
                <w:szCs w:val="16"/>
                <w:lang w:val="en-GB"/>
              </w:rPr>
              <w:t>5650_COM_URA_005B_020_20120328</w:t>
            </w:r>
          </w:p>
        </w:tc>
        <w:tc>
          <w:tcPr>
            <w:tcW w:w="3193" w:type="dxa"/>
            <w:vAlign w:val="center"/>
          </w:tcPr>
          <w:p w:rsidR="005C3C96" w:rsidRPr="005C3C96" w:rsidRDefault="005C3C96" w:rsidP="005C3C96">
            <w:pPr>
              <w:spacing w:before="120" w:after="120"/>
              <w:rPr>
                <w:rFonts w:asciiTheme="majorHAnsi" w:hAnsiTheme="majorHAnsi"/>
                <w:sz w:val="18"/>
                <w:szCs w:val="16"/>
                <w:lang w:val="en-GB"/>
              </w:rPr>
            </w:pPr>
            <w:r w:rsidRPr="005C3C96">
              <w:rPr>
                <w:rFonts w:asciiTheme="majorHAnsi" w:hAnsiTheme="majorHAnsi"/>
                <w:sz w:val="18"/>
                <w:szCs w:val="16"/>
                <w:lang w:val="en-GB"/>
              </w:rPr>
              <w:t>5650_COM_URA_005_080_20151120</w:t>
            </w:r>
          </w:p>
          <w:p w:rsidR="005C3C96" w:rsidRPr="00BF2EF7" w:rsidRDefault="005C3C96" w:rsidP="005C3C96">
            <w:pPr>
              <w:spacing w:before="120" w:after="120"/>
              <w:rPr>
                <w:rFonts w:asciiTheme="majorHAnsi" w:hAnsiTheme="majorHAnsi"/>
                <w:sz w:val="18"/>
                <w:szCs w:val="16"/>
                <w:lang w:val="en-GB"/>
              </w:rPr>
            </w:pPr>
            <w:r w:rsidRPr="005C3C96">
              <w:rPr>
                <w:rFonts w:asciiTheme="majorHAnsi" w:hAnsiTheme="majorHAnsi"/>
                <w:sz w:val="18"/>
                <w:szCs w:val="16"/>
                <w:lang w:val="en-GB"/>
              </w:rPr>
              <w:t>5650_COM_URA_005B_020_20151120</w:t>
            </w:r>
          </w:p>
        </w:tc>
      </w:tr>
    </w:tbl>
    <w:p w:rsidR="00475AD1" w:rsidRDefault="00475AD1" w:rsidP="00225483">
      <w:pPr>
        <w:spacing w:before="240" w:after="240" w:line="280" w:lineRule="exact"/>
        <w:contextualSpacing/>
        <w:jc w:val="both"/>
        <w:rPr>
          <w:rFonts w:ascii="Trebuchet MS" w:eastAsia="Times New Roman" w:hAnsi="Trebuchet MS" w:cs="Times New Roman"/>
          <w:color w:val="000000"/>
          <w:sz w:val="19"/>
          <w:lang w:eastAsia="en-AU"/>
        </w:rPr>
      </w:pPr>
    </w:p>
    <w:p w:rsidR="00225483" w:rsidRDefault="00475AD1" w:rsidP="00225483">
      <w:pPr>
        <w:spacing w:before="240" w:after="240" w:line="280" w:lineRule="exact"/>
        <w:contextualSpacing/>
        <w:jc w:val="both"/>
        <w:rPr>
          <w:rFonts w:ascii="Trebuchet MS" w:eastAsia="Times New Roman" w:hAnsi="Trebuchet MS" w:cs="Times New Roman"/>
          <w:color w:val="000000"/>
          <w:sz w:val="19"/>
          <w:lang w:eastAsia="en-AU"/>
        </w:rPr>
      </w:pPr>
      <w:r>
        <w:rPr>
          <w:rFonts w:ascii="Trebuchet MS" w:eastAsia="Times New Roman" w:hAnsi="Trebuchet MS" w:cs="Times New Roman"/>
          <w:color w:val="000000"/>
          <w:sz w:val="19"/>
          <w:lang w:eastAsia="en-AU"/>
        </w:rPr>
        <w:br w:type="page"/>
      </w:r>
    </w:p>
    <w:p w:rsidR="00200BDC" w:rsidRPr="00225483" w:rsidRDefault="000B311B" w:rsidP="00225483">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eastAsia="Times New Roman" w:hAnsi="Trebuchet MS" w:cs="Times New Roman"/>
          <w:b/>
          <w:noProof/>
          <w:color w:val="000000"/>
          <w:sz w:val="19"/>
          <w:lang w:eastAsia="en-AU"/>
        </w:rPr>
        <w:lastRenderedPageBreak/>
        <mc:AlternateContent>
          <mc:Choice Requires="wps">
            <w:drawing>
              <wp:anchor distT="0" distB="0" distL="114300" distR="114300" simplePos="0" relativeHeight="251660288" behindDoc="0" locked="0" layoutInCell="1" allowOverlap="1" wp14:anchorId="275E82AE" wp14:editId="6FC81A3C">
                <wp:simplePos x="0" y="0"/>
                <wp:positionH relativeFrom="column">
                  <wp:posOffset>-2555240</wp:posOffset>
                </wp:positionH>
                <wp:positionV relativeFrom="paragraph">
                  <wp:posOffset>1713230</wp:posOffset>
                </wp:positionV>
                <wp:extent cx="704850" cy="203200"/>
                <wp:effectExtent l="0" t="0" r="0" b="635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01.2pt;margin-top:134.9pt;width:55.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2Z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56</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1312" behindDoc="0" locked="0" layoutInCell="1" allowOverlap="1" wp14:anchorId="6AA36582" wp14:editId="197A13DB">
                <wp:simplePos x="0" y="0"/>
                <wp:positionH relativeFrom="column">
                  <wp:posOffset>-2625725</wp:posOffset>
                </wp:positionH>
                <wp:positionV relativeFrom="paragraph">
                  <wp:posOffset>1986280</wp:posOffset>
                </wp:positionV>
                <wp:extent cx="704850" cy="203200"/>
                <wp:effectExtent l="0" t="0" r="0" b="635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06.75pt;margin-top:156.4pt;width:55.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gh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7</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2336" behindDoc="0" locked="0" layoutInCell="1" allowOverlap="1" wp14:anchorId="7B58740C" wp14:editId="0B68F91B">
                <wp:simplePos x="0" y="0"/>
                <wp:positionH relativeFrom="column">
                  <wp:posOffset>-2689225</wp:posOffset>
                </wp:positionH>
                <wp:positionV relativeFrom="paragraph">
                  <wp:posOffset>2208530</wp:posOffset>
                </wp:positionV>
                <wp:extent cx="704850" cy="203200"/>
                <wp:effectExtent l="0" t="0" r="0" b="635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11.75pt;margin-top:173.9pt;width:55.5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aI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8</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3360" behindDoc="0" locked="0" layoutInCell="1" allowOverlap="1" wp14:anchorId="55294751" wp14:editId="2BA1C558">
                <wp:simplePos x="0" y="0"/>
                <wp:positionH relativeFrom="column">
                  <wp:posOffset>-2708275</wp:posOffset>
                </wp:positionH>
                <wp:positionV relativeFrom="paragraph">
                  <wp:posOffset>2418080</wp:posOffset>
                </wp:positionV>
                <wp:extent cx="704850" cy="203200"/>
                <wp:effectExtent l="0" t="0" r="0" b="63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13.25pt;margin-top:190.4pt;width:55.5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Q1twIAAMA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4384" behindDoc="0" locked="0" layoutInCell="1" allowOverlap="1" wp14:anchorId="781C8F6A" wp14:editId="7AB6DC86">
                <wp:simplePos x="0" y="0"/>
                <wp:positionH relativeFrom="column">
                  <wp:posOffset>-2771775</wp:posOffset>
                </wp:positionH>
                <wp:positionV relativeFrom="paragraph">
                  <wp:posOffset>2646680</wp:posOffset>
                </wp:positionV>
                <wp:extent cx="704850" cy="203200"/>
                <wp:effectExtent l="0" t="0" r="0" b="635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18.25pt;margin-top:208.4pt;width:55.5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pV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10</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5408" behindDoc="0" locked="0" layoutInCell="1" allowOverlap="1" wp14:anchorId="54370D05" wp14:editId="5EFB5AE5">
                <wp:simplePos x="0" y="0"/>
                <wp:positionH relativeFrom="column">
                  <wp:posOffset>-2828925</wp:posOffset>
                </wp:positionH>
                <wp:positionV relativeFrom="paragraph">
                  <wp:posOffset>2856230</wp:posOffset>
                </wp:positionV>
                <wp:extent cx="704850" cy="203200"/>
                <wp:effectExtent l="0" t="0" r="0" b="635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222.75pt;margin-top:224.9pt;width:55.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wtw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6432" behindDoc="0" locked="0" layoutInCell="1" allowOverlap="1" wp14:anchorId="6BDAFA7A" wp14:editId="4AC7FAC1">
                <wp:simplePos x="0" y="0"/>
                <wp:positionH relativeFrom="column">
                  <wp:posOffset>-2879090</wp:posOffset>
                </wp:positionH>
                <wp:positionV relativeFrom="paragraph">
                  <wp:posOffset>3104515</wp:posOffset>
                </wp:positionV>
                <wp:extent cx="704850" cy="203200"/>
                <wp:effectExtent l="0" t="0" r="0" b="635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26.7pt;margin-top:244.45pt;width:55.5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Ntw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" filled="f" stroked="f">
                <v:textbox>
                  <w:txbxContent>
                    <w:p w:rsidR="00010BA5" w:rsidRPr="00307584" w:rsidRDefault="00010BA5" w:rsidP="00200BDC">
                      <w:pPr>
                        <w:rPr>
                          <w:rFonts w:ascii="Arial" w:hAnsi="Arial" w:cs="Arial"/>
                          <w:b/>
                          <w:sz w:val="14"/>
                          <w:szCs w:val="14"/>
                        </w:rPr>
                      </w:pPr>
                      <w:r w:rsidRPr="00307584">
                        <w:rPr>
                          <w:rFonts w:ascii="Arial" w:hAnsi="Arial" w:cs="Arial"/>
                          <w:b/>
                          <w:sz w:val="14"/>
                          <w:szCs w:val="14"/>
                        </w:rPr>
                        <w:t>LOT 12</w:t>
                      </w:r>
                    </w:p>
                  </w:txbxContent>
                </v:textbox>
              </v:shape>
            </w:pict>
          </mc:Fallback>
        </mc:AlternateContent>
      </w:r>
      <w:r w:rsidR="00200BDC" w:rsidRPr="00225483">
        <w:rPr>
          <w:rFonts w:ascii="Trebuchet MS" w:eastAsia="Times New Roman" w:hAnsi="Trebuchet MS" w:cs="Times New Roman"/>
          <w:b/>
          <w:color w:val="000000"/>
          <w:sz w:val="19"/>
          <w:lang w:eastAsia="en-AU"/>
        </w:rPr>
        <w:t xml:space="preserve">MAP A: </w:t>
      </w:r>
      <w:r w:rsidR="00877A9D" w:rsidRPr="00877A9D">
        <w:rPr>
          <w:rFonts w:ascii="Trebuchet MS" w:eastAsia="Times New Roman" w:hAnsi="Trebuchet MS" w:cs="Times New Roman"/>
          <w:b/>
          <w:i/>
          <w:color w:val="000000"/>
          <w:sz w:val="19"/>
          <w:lang w:eastAsia="en-AU"/>
        </w:rPr>
        <w:t xml:space="preserve">Extract </w:t>
      </w:r>
      <w:r w:rsidR="00877A9D">
        <w:rPr>
          <w:rFonts w:ascii="Trebuchet MS" w:eastAsia="Times New Roman" w:hAnsi="Trebuchet MS" w:cs="Times New Roman"/>
          <w:b/>
          <w:i/>
          <w:color w:val="000000"/>
          <w:sz w:val="19"/>
          <w:lang w:eastAsia="en-AU"/>
        </w:rPr>
        <w:t>–</w:t>
      </w:r>
      <w:r w:rsidR="00877A9D">
        <w:rPr>
          <w:rFonts w:ascii="Trebuchet MS" w:eastAsia="Times New Roman" w:hAnsi="Trebuchet MS" w:cs="Times New Roman"/>
          <w:b/>
          <w:color w:val="000000"/>
          <w:sz w:val="19"/>
          <w:lang w:eastAsia="en-AU"/>
        </w:rPr>
        <w:t xml:space="preserve"> </w:t>
      </w:r>
      <w:r w:rsidR="00200BDC" w:rsidRPr="00225483">
        <w:rPr>
          <w:rFonts w:ascii="Trebuchet MS" w:eastAsia="Times New Roman" w:hAnsi="Trebuchet MS" w:cs="Times New Roman"/>
          <w:b/>
          <w:color w:val="000000"/>
          <w:sz w:val="19"/>
          <w:lang w:eastAsia="en-AU"/>
        </w:rPr>
        <w:t>M</w:t>
      </w:r>
      <w:r w:rsidR="00877A9D">
        <w:rPr>
          <w:rFonts w:ascii="Trebuchet MS" w:eastAsia="Times New Roman" w:hAnsi="Trebuchet MS" w:cs="Times New Roman"/>
          <w:b/>
          <w:color w:val="000000"/>
          <w:sz w:val="19"/>
          <w:lang w:eastAsia="en-AU"/>
        </w:rPr>
        <w:t xml:space="preserve">uswellbrook </w:t>
      </w:r>
      <w:r w:rsidR="00200BDC" w:rsidRPr="00225483">
        <w:rPr>
          <w:rFonts w:ascii="Trebuchet MS" w:eastAsia="Times New Roman" w:hAnsi="Trebuchet MS" w:cs="Times New Roman"/>
          <w:b/>
          <w:color w:val="000000"/>
          <w:sz w:val="19"/>
          <w:lang w:eastAsia="en-AU"/>
        </w:rPr>
        <w:t>LEP 2009 Land Zoning Map Sheet</w:t>
      </w:r>
      <w:r w:rsidR="00D70AA4">
        <w:rPr>
          <w:rFonts w:ascii="Trebuchet MS" w:eastAsia="Times New Roman" w:hAnsi="Trebuchet MS" w:cs="Times New Roman"/>
          <w:b/>
          <w:color w:val="000000"/>
          <w:sz w:val="19"/>
          <w:lang w:eastAsia="en-AU"/>
        </w:rPr>
        <w:t xml:space="preserve"> (</w:t>
      </w:r>
      <w:r w:rsidR="00200BDC" w:rsidRPr="00225483">
        <w:rPr>
          <w:rFonts w:ascii="Trebuchet MS" w:eastAsia="Times New Roman" w:hAnsi="Trebuchet MS" w:cs="Times New Roman"/>
          <w:b/>
          <w:color w:val="000000"/>
          <w:sz w:val="19"/>
          <w:lang w:eastAsia="en-AU"/>
        </w:rPr>
        <w:t>LZN-0</w:t>
      </w:r>
      <w:r w:rsidR="00D70AA4">
        <w:rPr>
          <w:rFonts w:ascii="Trebuchet MS" w:eastAsia="Times New Roman" w:hAnsi="Trebuchet MS" w:cs="Times New Roman"/>
          <w:b/>
          <w:color w:val="000000"/>
          <w:sz w:val="19"/>
          <w:lang w:eastAsia="en-AU"/>
        </w:rPr>
        <w:t>05 and 005B)</w:t>
      </w:r>
    </w:p>
    <w:p w:rsidR="00103D84" w:rsidRDefault="00103D84" w:rsidP="00225483">
      <w:pPr>
        <w:spacing w:before="240" w:after="240" w:line="280" w:lineRule="exact"/>
        <w:contextualSpacing/>
        <w:jc w:val="both"/>
        <w:rPr>
          <w:rFonts w:ascii="Trebuchet MS" w:eastAsia="Times New Roman" w:hAnsi="Trebuchet MS" w:cs="Times New Roman"/>
          <w:b/>
          <w:bCs/>
          <w:i/>
          <w:iCs/>
          <w:color w:val="000000"/>
          <w:sz w:val="17"/>
          <w:lang w:eastAsia="en-AU"/>
        </w:rPr>
      </w:pPr>
    </w:p>
    <w:p w:rsidR="00103D84" w:rsidRDefault="00225483" w:rsidP="00225483">
      <w:pPr>
        <w:spacing w:before="240" w:after="240" w:line="280" w:lineRule="exact"/>
        <w:contextualSpacing/>
        <w:jc w:val="both"/>
        <w:rPr>
          <w:rFonts w:ascii="Trebuchet MS" w:eastAsia="Times New Roman" w:hAnsi="Trebuchet MS" w:cs="Times New Roman"/>
          <w:bCs/>
          <w:i/>
          <w:iCs/>
          <w:color w:val="000000"/>
          <w:sz w:val="17"/>
          <w:lang w:eastAsia="en-AU"/>
        </w:rPr>
      </w:pPr>
      <w:r w:rsidRPr="00225483">
        <w:rPr>
          <w:rFonts w:ascii="Trebuchet MS" w:eastAsia="Times New Roman" w:hAnsi="Trebuchet MS" w:cs="Times New Roman"/>
          <w:b/>
          <w:bCs/>
          <w:i/>
          <w:iCs/>
          <w:color w:val="000000"/>
          <w:sz w:val="17"/>
          <w:lang w:eastAsia="en-AU"/>
        </w:rPr>
        <w:t>(a)</w:t>
      </w:r>
      <w:r w:rsidR="00200BDC" w:rsidRPr="00225483">
        <w:rPr>
          <w:rFonts w:ascii="Trebuchet MS" w:eastAsia="Times New Roman" w:hAnsi="Trebuchet MS" w:cs="Times New Roman"/>
          <w:bCs/>
          <w:i/>
          <w:iCs/>
          <w:color w:val="000000"/>
          <w:sz w:val="17"/>
          <w:lang w:eastAsia="en-AU"/>
        </w:rPr>
        <w:t xml:space="preserve"> Current Land Zoning Map </w:t>
      </w:r>
      <w:r w:rsidR="00D70AA4">
        <w:rPr>
          <w:rFonts w:ascii="Trebuchet MS" w:eastAsia="Times New Roman" w:hAnsi="Trebuchet MS" w:cs="Times New Roman"/>
          <w:bCs/>
          <w:i/>
          <w:iCs/>
          <w:color w:val="000000"/>
          <w:sz w:val="17"/>
          <w:lang w:eastAsia="en-AU"/>
        </w:rPr>
        <w:t xml:space="preserve">- Denman </w:t>
      </w:r>
    </w:p>
    <w:p w:rsidR="00200BDC" w:rsidRPr="00225483" w:rsidRDefault="004A37AB" w:rsidP="00103D84">
      <w:pPr>
        <w:tabs>
          <w:tab w:val="left" w:pos="3200"/>
        </w:tabs>
        <w:spacing w:after="0" w:line="280" w:lineRule="exact"/>
        <w:contextualSpacing/>
        <w:jc w:val="both"/>
        <w:rPr>
          <w:rFonts w:ascii="Trebuchet MS" w:eastAsia="Times New Roman" w:hAnsi="Trebuchet MS" w:cs="Times New Roman"/>
          <w:bCs/>
          <w:i/>
          <w:iCs/>
          <w:color w:val="000000"/>
          <w:sz w:val="17"/>
          <w:lang w:eastAsia="en-AU"/>
        </w:rPr>
      </w:pPr>
      <w:r>
        <w:rPr>
          <w:rFonts w:ascii="Trebuchet MS" w:eastAsia="Times New Roman" w:hAnsi="Trebuchet MS" w:cs="Times New Roman"/>
          <w:bCs/>
          <w:i/>
          <w:iCs/>
          <w:noProof/>
          <w:color w:val="000000"/>
          <w:sz w:val="17"/>
          <w:lang w:eastAsia="en-AU"/>
        </w:rPr>
        <w:drawing>
          <wp:anchor distT="0" distB="0" distL="114300" distR="114300" simplePos="0" relativeHeight="251683840" behindDoc="0" locked="0" layoutInCell="1" allowOverlap="1" wp14:anchorId="74EB8F42" wp14:editId="0BE3CC51">
            <wp:simplePos x="0" y="0"/>
            <wp:positionH relativeFrom="column">
              <wp:align>left</wp:align>
            </wp:positionH>
            <wp:positionV relativeFrom="paragraph">
              <wp:posOffset>179070</wp:posOffset>
            </wp:positionV>
            <wp:extent cx="4539615" cy="3785235"/>
            <wp:effectExtent l="25400" t="0" r="6985" b="0"/>
            <wp:wrapTopAndBottom/>
            <wp:docPr id="16" name="Picture 16" descr="LZN_013 Extract 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N_013 Extract Existing.png"/>
                    <pic:cNvPicPr/>
                  </pic:nvPicPr>
                  <pic:blipFill>
                    <a:blip r:embed="rId17"/>
                    <a:stretch>
                      <a:fillRect/>
                    </a:stretch>
                  </pic:blipFill>
                  <pic:spPr>
                    <a:xfrm>
                      <a:off x="0" y="0"/>
                      <a:ext cx="4539615" cy="3785235"/>
                    </a:xfrm>
                    <a:prstGeom prst="rect">
                      <a:avLst/>
                    </a:prstGeom>
                  </pic:spPr>
                </pic:pic>
              </a:graphicData>
            </a:graphic>
          </wp:anchor>
        </w:drawing>
      </w:r>
    </w:p>
    <w:p w:rsidR="00200BDC" w:rsidRPr="002B278B" w:rsidRDefault="00200BDC" w:rsidP="002B278B">
      <w:pPr>
        <w:spacing w:before="240" w:after="240" w:line="280" w:lineRule="exact"/>
        <w:contextualSpacing/>
        <w:jc w:val="both"/>
        <w:rPr>
          <w:rFonts w:ascii="Trebuchet MS" w:eastAsia="Times New Roman" w:hAnsi="Trebuchet MS" w:cs="Times New Roman"/>
          <w:bCs/>
          <w:i/>
          <w:iCs/>
          <w:color w:val="000000"/>
          <w:sz w:val="17"/>
          <w:lang w:eastAsia="en-AU"/>
        </w:rPr>
      </w:pPr>
    </w:p>
    <w:p w:rsidR="00200BDC" w:rsidRPr="00225483" w:rsidRDefault="00DA4A0C" w:rsidP="00225483">
      <w:pPr>
        <w:spacing w:before="240" w:after="240" w:line="280" w:lineRule="exact"/>
        <w:contextualSpacing/>
        <w:jc w:val="both"/>
        <w:rPr>
          <w:rFonts w:ascii="Trebuchet MS" w:eastAsia="Times New Roman" w:hAnsi="Trebuchet MS" w:cs="Times New Roman"/>
          <w:bCs/>
          <w:i/>
          <w:iCs/>
          <w:color w:val="000000"/>
          <w:sz w:val="17"/>
          <w:lang w:eastAsia="en-AU"/>
        </w:rPr>
      </w:pPr>
      <w:r>
        <w:rPr>
          <w:rFonts w:ascii="Trebuchet MS" w:eastAsia="Times New Roman" w:hAnsi="Trebuchet MS" w:cs="Times New Roman"/>
          <w:b/>
          <w:bCs/>
          <w:i/>
          <w:iCs/>
          <w:noProof/>
          <w:color w:val="000000"/>
          <w:sz w:val="17"/>
          <w:lang w:eastAsia="en-AU"/>
        </w:rPr>
        <w:drawing>
          <wp:anchor distT="0" distB="0" distL="114300" distR="114300" simplePos="0" relativeHeight="251684864" behindDoc="0" locked="0" layoutInCell="1" allowOverlap="1" wp14:anchorId="3D220423" wp14:editId="5D057BD8">
            <wp:simplePos x="0" y="0"/>
            <wp:positionH relativeFrom="column">
              <wp:posOffset>-635</wp:posOffset>
            </wp:positionH>
            <wp:positionV relativeFrom="paragraph">
              <wp:posOffset>329565</wp:posOffset>
            </wp:positionV>
            <wp:extent cx="4539615" cy="3785235"/>
            <wp:effectExtent l="25400" t="0" r="6985" b="0"/>
            <wp:wrapTopAndBottom/>
            <wp:docPr id="26" name="Picture 26" descr="LZN_013 Extract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N_013 Extract Proposed.jpg"/>
                    <pic:cNvPicPr/>
                  </pic:nvPicPr>
                  <pic:blipFill>
                    <a:blip r:embed="rId18"/>
                    <a:stretch>
                      <a:fillRect/>
                    </a:stretch>
                  </pic:blipFill>
                  <pic:spPr>
                    <a:xfrm>
                      <a:off x="0" y="0"/>
                      <a:ext cx="4539615" cy="3785235"/>
                    </a:xfrm>
                    <a:prstGeom prst="rect">
                      <a:avLst/>
                    </a:prstGeom>
                  </pic:spPr>
                </pic:pic>
              </a:graphicData>
            </a:graphic>
          </wp:anchor>
        </w:drawing>
      </w:r>
      <w:r w:rsidR="00225483" w:rsidRPr="00225483">
        <w:rPr>
          <w:rFonts w:ascii="Trebuchet MS" w:eastAsia="Times New Roman" w:hAnsi="Trebuchet MS" w:cs="Times New Roman"/>
          <w:b/>
          <w:bCs/>
          <w:i/>
          <w:iCs/>
          <w:color w:val="000000"/>
          <w:sz w:val="17"/>
          <w:lang w:eastAsia="en-AU"/>
        </w:rPr>
        <w:t>(b)</w:t>
      </w:r>
      <w:r w:rsidR="00200BDC" w:rsidRPr="00225483">
        <w:rPr>
          <w:rFonts w:ascii="Trebuchet MS" w:eastAsia="Times New Roman" w:hAnsi="Trebuchet MS" w:cs="Times New Roman"/>
          <w:bCs/>
          <w:i/>
          <w:iCs/>
          <w:color w:val="000000"/>
          <w:sz w:val="17"/>
          <w:lang w:eastAsia="en-AU"/>
        </w:rPr>
        <w:t xml:space="preserve"> Proposed </w:t>
      </w:r>
      <w:r w:rsidR="009420FB">
        <w:rPr>
          <w:rFonts w:ascii="Trebuchet MS" w:eastAsia="Times New Roman" w:hAnsi="Trebuchet MS" w:cs="Times New Roman"/>
          <w:bCs/>
          <w:i/>
          <w:iCs/>
          <w:color w:val="000000"/>
          <w:sz w:val="17"/>
          <w:lang w:eastAsia="en-AU"/>
        </w:rPr>
        <w:t xml:space="preserve">Land Zoning </w:t>
      </w:r>
      <w:proofErr w:type="gramStart"/>
      <w:r w:rsidR="009420FB">
        <w:rPr>
          <w:rFonts w:ascii="Trebuchet MS" w:eastAsia="Times New Roman" w:hAnsi="Trebuchet MS" w:cs="Times New Roman"/>
          <w:bCs/>
          <w:i/>
          <w:iCs/>
          <w:color w:val="000000"/>
          <w:sz w:val="17"/>
          <w:lang w:eastAsia="en-AU"/>
        </w:rPr>
        <w:t>Ma</w:t>
      </w:r>
      <w:r w:rsidR="0011425D">
        <w:rPr>
          <w:rFonts w:ascii="Trebuchet MS" w:eastAsia="Times New Roman" w:hAnsi="Trebuchet MS" w:cs="Times New Roman"/>
          <w:bCs/>
          <w:i/>
          <w:iCs/>
          <w:color w:val="000000"/>
          <w:sz w:val="17"/>
          <w:lang w:eastAsia="en-AU"/>
        </w:rPr>
        <w:t>p</w:t>
      </w:r>
      <w:r w:rsidR="006475CD" w:rsidRPr="00225483">
        <w:rPr>
          <w:rFonts w:ascii="Trebuchet MS" w:eastAsia="Times New Roman" w:hAnsi="Trebuchet MS" w:cs="Times New Roman"/>
          <w:bCs/>
          <w:i/>
          <w:iCs/>
          <w:color w:val="000000"/>
          <w:sz w:val="17"/>
          <w:lang w:eastAsia="en-AU"/>
        </w:rPr>
        <w:t xml:space="preserve"> </w:t>
      </w:r>
      <w:r w:rsidR="00D70AA4">
        <w:rPr>
          <w:rFonts w:ascii="Trebuchet MS" w:eastAsia="Times New Roman" w:hAnsi="Trebuchet MS" w:cs="Times New Roman"/>
          <w:bCs/>
          <w:i/>
          <w:iCs/>
          <w:color w:val="000000"/>
          <w:sz w:val="17"/>
          <w:lang w:eastAsia="en-AU"/>
        </w:rPr>
        <w:t xml:space="preserve"> -</w:t>
      </w:r>
      <w:proofErr w:type="gramEnd"/>
      <w:r w:rsidR="00D70AA4">
        <w:rPr>
          <w:rFonts w:ascii="Trebuchet MS" w:eastAsia="Times New Roman" w:hAnsi="Trebuchet MS" w:cs="Times New Roman"/>
          <w:bCs/>
          <w:i/>
          <w:iCs/>
          <w:color w:val="000000"/>
          <w:sz w:val="17"/>
          <w:lang w:eastAsia="en-AU"/>
        </w:rPr>
        <w:t xml:space="preserve"> Denman</w:t>
      </w:r>
    </w:p>
    <w:p w:rsidR="00225483" w:rsidRDefault="000B311B" w:rsidP="00225483">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eastAsia="Times New Roman" w:hAnsi="Trebuchet MS" w:cs="Times New Roman"/>
          <w:b/>
          <w:noProof/>
          <w:color w:val="000000"/>
          <w:sz w:val="19"/>
          <w:lang w:eastAsia="en-AU"/>
        </w:rPr>
        <w:lastRenderedPageBreak/>
        <mc:AlternateContent>
          <mc:Choice Requires="wps">
            <w:drawing>
              <wp:anchor distT="0" distB="0" distL="114300" distR="114300" simplePos="0" relativeHeight="251668480" behindDoc="0" locked="0" layoutInCell="1" allowOverlap="1" wp14:anchorId="366CF219" wp14:editId="0C9080C0">
                <wp:simplePos x="0" y="0"/>
                <wp:positionH relativeFrom="column">
                  <wp:posOffset>-2555240</wp:posOffset>
                </wp:positionH>
                <wp:positionV relativeFrom="paragraph">
                  <wp:posOffset>1713230</wp:posOffset>
                </wp:positionV>
                <wp:extent cx="704850" cy="20320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01.2pt;margin-top:134.9pt;width:55.5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dJtg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56</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69504" behindDoc="0" locked="0" layoutInCell="1" allowOverlap="1" wp14:anchorId="1EA80D29" wp14:editId="300D9558">
                <wp:simplePos x="0" y="0"/>
                <wp:positionH relativeFrom="column">
                  <wp:posOffset>-2625725</wp:posOffset>
                </wp:positionH>
                <wp:positionV relativeFrom="paragraph">
                  <wp:posOffset>1986280</wp:posOffset>
                </wp:positionV>
                <wp:extent cx="704850" cy="203200"/>
                <wp:effectExtent l="0" t="0" r="0" b="635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6.75pt;margin-top:156.4pt;width:55.5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nztgIAAMA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7</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0528" behindDoc="0" locked="0" layoutInCell="1" allowOverlap="1" wp14:anchorId="14271455" wp14:editId="3A43BFAB">
                <wp:simplePos x="0" y="0"/>
                <wp:positionH relativeFrom="column">
                  <wp:posOffset>-2689225</wp:posOffset>
                </wp:positionH>
                <wp:positionV relativeFrom="paragraph">
                  <wp:posOffset>2208530</wp:posOffset>
                </wp:positionV>
                <wp:extent cx="704850" cy="203200"/>
                <wp:effectExtent l="0" t="0" r="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75pt;margin-top:173.9pt;width:55.5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2p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8</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1552" behindDoc="0" locked="0" layoutInCell="1" allowOverlap="1" wp14:anchorId="541CE534" wp14:editId="7391CCCF">
                <wp:simplePos x="0" y="0"/>
                <wp:positionH relativeFrom="column">
                  <wp:posOffset>-2708275</wp:posOffset>
                </wp:positionH>
                <wp:positionV relativeFrom="paragraph">
                  <wp:posOffset>2418080</wp:posOffset>
                </wp:positionV>
                <wp:extent cx="704850" cy="203200"/>
                <wp:effectExtent l="0" t="0" r="0" b="63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3.25pt;margin-top:190.4pt;width:55.5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y4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2576" behindDoc="0" locked="0" layoutInCell="1" allowOverlap="1" wp14:anchorId="3B6B27FF" wp14:editId="18EA32C9">
                <wp:simplePos x="0" y="0"/>
                <wp:positionH relativeFrom="column">
                  <wp:posOffset>-2771775</wp:posOffset>
                </wp:positionH>
                <wp:positionV relativeFrom="paragraph">
                  <wp:posOffset>2646680</wp:posOffset>
                </wp:positionV>
                <wp:extent cx="704850" cy="203200"/>
                <wp:effectExtent l="0" t="0" r="0" b="635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8.25pt;margin-top:208.4pt;width:55.5pt;height: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buA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10</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3600" behindDoc="0" locked="0" layoutInCell="1" allowOverlap="1" wp14:anchorId="6BAB17FE" wp14:editId="1DC45659">
                <wp:simplePos x="0" y="0"/>
                <wp:positionH relativeFrom="column">
                  <wp:posOffset>-2828925</wp:posOffset>
                </wp:positionH>
                <wp:positionV relativeFrom="paragraph">
                  <wp:posOffset>2856230</wp:posOffset>
                </wp:positionV>
                <wp:extent cx="704850" cy="203200"/>
                <wp:effectExtent l="0" t="0" r="0" b="63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22.75pt;margin-top:224.9pt;width:55.5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6l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4624" behindDoc="0" locked="0" layoutInCell="1" allowOverlap="1" wp14:anchorId="10315D8A" wp14:editId="50DE3C5E">
                <wp:simplePos x="0" y="0"/>
                <wp:positionH relativeFrom="column">
                  <wp:posOffset>-2879090</wp:posOffset>
                </wp:positionH>
                <wp:positionV relativeFrom="paragraph">
                  <wp:posOffset>3104515</wp:posOffset>
                </wp:positionV>
                <wp:extent cx="704850" cy="203200"/>
                <wp:effectExtent l="0" t="0" r="0" b="635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26.7pt;margin-top:244.45pt;width:55.5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0f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12</w:t>
                      </w:r>
                    </w:p>
                  </w:txbxContent>
                </v:textbox>
              </v:shape>
            </w:pict>
          </mc:Fallback>
        </mc:AlternateContent>
      </w:r>
      <w:r w:rsidR="002B278B">
        <w:rPr>
          <w:rFonts w:ascii="Trebuchet MS" w:eastAsia="Times New Roman" w:hAnsi="Trebuchet MS" w:cs="Times New Roman"/>
          <w:b/>
          <w:color w:val="000000"/>
          <w:sz w:val="19"/>
          <w:lang w:eastAsia="en-AU"/>
        </w:rPr>
        <w:t>M</w:t>
      </w:r>
      <w:r w:rsidR="00622048" w:rsidRPr="00225483">
        <w:rPr>
          <w:rFonts w:ascii="Trebuchet MS" w:eastAsia="Times New Roman" w:hAnsi="Trebuchet MS" w:cs="Times New Roman"/>
          <w:b/>
          <w:color w:val="000000"/>
          <w:sz w:val="19"/>
          <w:lang w:eastAsia="en-AU"/>
        </w:rPr>
        <w:t xml:space="preserve">AP B: </w:t>
      </w:r>
      <w:r w:rsidR="00877A9D" w:rsidRPr="00877A9D">
        <w:rPr>
          <w:rFonts w:ascii="Trebuchet MS" w:eastAsia="Times New Roman" w:hAnsi="Trebuchet MS" w:cs="Times New Roman"/>
          <w:b/>
          <w:i/>
          <w:color w:val="000000"/>
          <w:sz w:val="19"/>
          <w:lang w:eastAsia="en-AU"/>
        </w:rPr>
        <w:t xml:space="preserve">Extract </w:t>
      </w:r>
      <w:r w:rsidR="00877A9D">
        <w:rPr>
          <w:rFonts w:ascii="Trebuchet MS" w:eastAsia="Times New Roman" w:hAnsi="Trebuchet MS" w:cs="Times New Roman"/>
          <w:b/>
          <w:i/>
          <w:color w:val="000000"/>
          <w:sz w:val="19"/>
          <w:lang w:eastAsia="en-AU"/>
        </w:rPr>
        <w:t>–</w:t>
      </w:r>
      <w:r w:rsidR="00877A9D">
        <w:rPr>
          <w:rFonts w:ascii="Trebuchet MS" w:eastAsia="Times New Roman" w:hAnsi="Trebuchet MS" w:cs="Times New Roman"/>
          <w:b/>
          <w:color w:val="000000"/>
          <w:sz w:val="19"/>
          <w:lang w:eastAsia="en-AU"/>
        </w:rPr>
        <w:t xml:space="preserve"> </w:t>
      </w:r>
      <w:r w:rsidR="00877A9D" w:rsidRPr="00225483">
        <w:rPr>
          <w:rFonts w:ascii="Trebuchet MS" w:eastAsia="Times New Roman" w:hAnsi="Trebuchet MS" w:cs="Times New Roman"/>
          <w:b/>
          <w:color w:val="000000"/>
          <w:sz w:val="19"/>
          <w:lang w:eastAsia="en-AU"/>
        </w:rPr>
        <w:t>M</w:t>
      </w:r>
      <w:r w:rsidR="00877A9D">
        <w:rPr>
          <w:rFonts w:ascii="Trebuchet MS" w:eastAsia="Times New Roman" w:hAnsi="Trebuchet MS" w:cs="Times New Roman"/>
          <w:b/>
          <w:color w:val="000000"/>
          <w:sz w:val="19"/>
          <w:lang w:eastAsia="en-AU"/>
        </w:rPr>
        <w:t xml:space="preserve">uswellbrook </w:t>
      </w:r>
      <w:r w:rsidR="00622048" w:rsidRPr="00225483">
        <w:rPr>
          <w:rFonts w:ascii="Trebuchet MS" w:eastAsia="Times New Roman" w:hAnsi="Trebuchet MS" w:cs="Times New Roman"/>
          <w:b/>
          <w:color w:val="000000"/>
          <w:sz w:val="19"/>
          <w:lang w:eastAsia="en-AU"/>
        </w:rPr>
        <w:t>LEP 2009 Lot Size Map Sheet LSZ-013</w:t>
      </w:r>
    </w:p>
    <w:p w:rsidR="00622048" w:rsidRPr="00225483" w:rsidRDefault="00622048" w:rsidP="00225483">
      <w:pPr>
        <w:spacing w:before="240" w:after="240" w:line="280" w:lineRule="exact"/>
        <w:contextualSpacing/>
        <w:jc w:val="both"/>
        <w:rPr>
          <w:rFonts w:ascii="Trebuchet MS" w:eastAsia="Times New Roman" w:hAnsi="Trebuchet MS" w:cs="Times New Roman"/>
          <w:b/>
          <w:color w:val="000000"/>
          <w:sz w:val="19"/>
          <w:lang w:eastAsia="en-AU"/>
        </w:rPr>
      </w:pPr>
    </w:p>
    <w:p w:rsidR="00622048" w:rsidRPr="00225483" w:rsidRDefault="00225483" w:rsidP="00225483">
      <w:pPr>
        <w:spacing w:before="240" w:after="240" w:line="280" w:lineRule="exact"/>
        <w:contextualSpacing/>
        <w:jc w:val="both"/>
        <w:rPr>
          <w:rFonts w:ascii="Trebuchet MS" w:eastAsia="Times New Roman" w:hAnsi="Trebuchet MS" w:cs="Times New Roman"/>
          <w:bCs/>
          <w:i/>
          <w:iCs/>
          <w:color w:val="000000"/>
          <w:sz w:val="17"/>
          <w:lang w:eastAsia="en-AU"/>
        </w:rPr>
      </w:pPr>
      <w:r w:rsidRPr="00225483">
        <w:rPr>
          <w:rFonts w:ascii="Trebuchet MS" w:eastAsia="Times New Roman" w:hAnsi="Trebuchet MS" w:cs="Times New Roman"/>
          <w:b/>
          <w:bCs/>
          <w:i/>
          <w:iCs/>
          <w:color w:val="000000"/>
          <w:sz w:val="17"/>
          <w:lang w:eastAsia="en-AU"/>
        </w:rPr>
        <w:t>(a)</w:t>
      </w:r>
      <w:r w:rsidR="00622048" w:rsidRPr="00225483">
        <w:rPr>
          <w:rFonts w:ascii="Trebuchet MS" w:eastAsia="Times New Roman" w:hAnsi="Trebuchet MS" w:cs="Times New Roman"/>
          <w:bCs/>
          <w:i/>
          <w:iCs/>
          <w:color w:val="000000"/>
          <w:sz w:val="17"/>
          <w:lang w:eastAsia="en-AU"/>
        </w:rPr>
        <w:t xml:space="preserve"> Current Lot Size Map Sheet </w:t>
      </w:r>
      <w:r w:rsidR="00D70AA4">
        <w:rPr>
          <w:rFonts w:ascii="Trebuchet MS" w:eastAsia="Times New Roman" w:hAnsi="Trebuchet MS" w:cs="Times New Roman"/>
          <w:bCs/>
          <w:i/>
          <w:iCs/>
          <w:color w:val="000000"/>
          <w:sz w:val="17"/>
          <w:lang w:eastAsia="en-AU"/>
        </w:rPr>
        <w:t>- Denman</w:t>
      </w:r>
    </w:p>
    <w:p w:rsidR="00200BDC" w:rsidRPr="000916FE" w:rsidRDefault="00200BDC" w:rsidP="000916FE">
      <w:pPr>
        <w:spacing w:before="240" w:after="240" w:line="280" w:lineRule="exact"/>
        <w:contextualSpacing/>
        <w:jc w:val="both"/>
        <w:rPr>
          <w:rFonts w:ascii="Trebuchet MS" w:eastAsia="Times New Roman" w:hAnsi="Trebuchet MS" w:cs="Times New Roman"/>
          <w:b/>
          <w:color w:val="000000"/>
          <w:sz w:val="19"/>
          <w:lang w:eastAsia="en-AU"/>
        </w:rPr>
      </w:pPr>
    </w:p>
    <w:p w:rsidR="00200BDC" w:rsidRPr="00225483" w:rsidRDefault="00622048" w:rsidP="00225483">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hAnsi="Trebuchet MS" w:cs="Arial"/>
          <w:b/>
          <w:noProof/>
          <w:color w:val="000000"/>
          <w:lang w:eastAsia="en-AU"/>
        </w:rPr>
        <w:drawing>
          <wp:anchor distT="0" distB="0" distL="114300" distR="114300" simplePos="0" relativeHeight="251686912" behindDoc="0" locked="0" layoutInCell="1" allowOverlap="1" wp14:anchorId="78BEB5B1" wp14:editId="474D3572">
            <wp:simplePos x="0" y="0"/>
            <wp:positionH relativeFrom="column">
              <wp:align>left</wp:align>
            </wp:positionH>
            <wp:positionV relativeFrom="paragraph">
              <wp:posOffset>3810</wp:posOffset>
            </wp:positionV>
            <wp:extent cx="4165600" cy="3695700"/>
            <wp:effectExtent l="25400" t="0" r="0" b="0"/>
            <wp:wrapTopAndBottom/>
            <wp:docPr id="2" name="Picture 2" descr="::Maps:LSZ_013 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LSZ_013 Existing.png"/>
                    <pic:cNvPicPr>
                      <a:picLocks noChangeAspect="1" noChangeArrowheads="1"/>
                    </pic:cNvPicPr>
                  </pic:nvPicPr>
                  <pic:blipFill>
                    <a:blip r:embed="rId19"/>
                    <a:srcRect/>
                    <a:stretch>
                      <a:fillRect/>
                    </a:stretch>
                  </pic:blipFill>
                  <pic:spPr bwMode="auto">
                    <a:xfrm>
                      <a:off x="0" y="0"/>
                      <a:ext cx="4165600" cy="3695700"/>
                    </a:xfrm>
                    <a:prstGeom prst="rect">
                      <a:avLst/>
                    </a:prstGeom>
                    <a:noFill/>
                    <a:ln w="9525">
                      <a:noFill/>
                      <a:miter lim="800000"/>
                      <a:headEnd/>
                      <a:tailEnd/>
                    </a:ln>
                  </pic:spPr>
                </pic:pic>
              </a:graphicData>
            </a:graphic>
          </wp:anchor>
        </w:drawing>
      </w:r>
    </w:p>
    <w:p w:rsidR="00622048" w:rsidRPr="00225483" w:rsidRDefault="00225483" w:rsidP="00225483">
      <w:pPr>
        <w:spacing w:before="240" w:after="240" w:line="280" w:lineRule="exact"/>
        <w:contextualSpacing/>
        <w:jc w:val="both"/>
        <w:rPr>
          <w:rFonts w:ascii="Trebuchet MS" w:eastAsia="Times New Roman" w:hAnsi="Trebuchet MS" w:cs="Times New Roman"/>
          <w:bCs/>
          <w:i/>
          <w:iCs/>
          <w:color w:val="000000"/>
          <w:sz w:val="17"/>
          <w:lang w:eastAsia="en-AU"/>
        </w:rPr>
      </w:pPr>
      <w:r w:rsidRPr="00225483">
        <w:rPr>
          <w:rFonts w:ascii="Trebuchet MS" w:eastAsia="Times New Roman" w:hAnsi="Trebuchet MS" w:cs="Times New Roman"/>
          <w:b/>
          <w:bCs/>
          <w:i/>
          <w:iCs/>
          <w:color w:val="000000"/>
          <w:sz w:val="17"/>
          <w:lang w:eastAsia="en-AU"/>
        </w:rPr>
        <w:t>(b)</w:t>
      </w:r>
      <w:r w:rsidR="00622048" w:rsidRPr="00225483">
        <w:rPr>
          <w:rFonts w:ascii="Trebuchet MS" w:eastAsia="Times New Roman" w:hAnsi="Trebuchet MS" w:cs="Times New Roman"/>
          <w:bCs/>
          <w:i/>
          <w:iCs/>
          <w:color w:val="000000"/>
          <w:sz w:val="17"/>
          <w:lang w:eastAsia="en-AU"/>
        </w:rPr>
        <w:t xml:space="preserve"> Proposed Lot Size Map</w:t>
      </w:r>
      <w:r w:rsidR="00D70AA4">
        <w:rPr>
          <w:rFonts w:ascii="Trebuchet MS" w:eastAsia="Times New Roman" w:hAnsi="Trebuchet MS" w:cs="Times New Roman"/>
          <w:bCs/>
          <w:i/>
          <w:iCs/>
          <w:color w:val="000000"/>
          <w:sz w:val="17"/>
          <w:lang w:eastAsia="en-AU"/>
        </w:rPr>
        <w:t xml:space="preserve"> - Denman</w:t>
      </w:r>
    </w:p>
    <w:p w:rsidR="00200BDC" w:rsidRPr="00225483" w:rsidRDefault="00EB098A" w:rsidP="00225483">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eastAsia="Times New Roman" w:hAnsi="Trebuchet MS" w:cs="Times New Roman"/>
          <w:b/>
          <w:noProof/>
          <w:color w:val="000000"/>
          <w:sz w:val="19"/>
          <w:lang w:eastAsia="en-AU"/>
        </w:rPr>
        <w:drawing>
          <wp:anchor distT="0" distB="0" distL="114300" distR="114300" simplePos="0" relativeHeight="251685888" behindDoc="0" locked="0" layoutInCell="1" allowOverlap="1" wp14:anchorId="780830B3" wp14:editId="6D413E82">
            <wp:simplePos x="0" y="0"/>
            <wp:positionH relativeFrom="column">
              <wp:posOffset>50800</wp:posOffset>
            </wp:positionH>
            <wp:positionV relativeFrom="paragraph">
              <wp:posOffset>123190</wp:posOffset>
            </wp:positionV>
            <wp:extent cx="4169410" cy="3696335"/>
            <wp:effectExtent l="25400" t="0" r="0" b="0"/>
            <wp:wrapTopAndBottom/>
            <wp:docPr id="28" name="Picture 28" descr="LSZ_013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Z_013 Proposed.jpg"/>
                    <pic:cNvPicPr/>
                  </pic:nvPicPr>
                  <pic:blipFill>
                    <a:blip r:embed="rId20"/>
                    <a:stretch>
                      <a:fillRect/>
                    </a:stretch>
                  </pic:blipFill>
                  <pic:spPr>
                    <a:xfrm>
                      <a:off x="0" y="0"/>
                      <a:ext cx="4169410" cy="3696335"/>
                    </a:xfrm>
                    <a:prstGeom prst="rect">
                      <a:avLst/>
                    </a:prstGeom>
                  </pic:spPr>
                </pic:pic>
              </a:graphicData>
            </a:graphic>
          </wp:anchor>
        </w:drawing>
      </w:r>
    </w:p>
    <w:p w:rsidR="00225483" w:rsidRDefault="000B311B" w:rsidP="00225483">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eastAsia="Times New Roman" w:hAnsi="Trebuchet MS" w:cs="Times New Roman"/>
          <w:b/>
          <w:noProof/>
          <w:color w:val="000000"/>
          <w:sz w:val="19"/>
          <w:lang w:eastAsia="en-AU"/>
        </w:rPr>
        <w:lastRenderedPageBreak/>
        <mc:AlternateContent>
          <mc:Choice Requires="wps">
            <w:drawing>
              <wp:anchor distT="0" distB="0" distL="114300" distR="114300" simplePos="0" relativeHeight="251676672" behindDoc="0" locked="0" layoutInCell="1" allowOverlap="1" wp14:anchorId="7B07E840" wp14:editId="7965D628">
                <wp:simplePos x="0" y="0"/>
                <wp:positionH relativeFrom="column">
                  <wp:posOffset>-2555240</wp:posOffset>
                </wp:positionH>
                <wp:positionV relativeFrom="paragraph">
                  <wp:posOffset>1713230</wp:posOffset>
                </wp:positionV>
                <wp:extent cx="704850" cy="203200"/>
                <wp:effectExtent l="0" t="0" r="0" b="63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01.2pt;margin-top:134.9pt;width:55.5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o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56</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7696" behindDoc="0" locked="0" layoutInCell="1" allowOverlap="1" wp14:anchorId="52D5C6EC" wp14:editId="6E3D3874">
                <wp:simplePos x="0" y="0"/>
                <wp:positionH relativeFrom="column">
                  <wp:posOffset>-2625725</wp:posOffset>
                </wp:positionH>
                <wp:positionV relativeFrom="paragraph">
                  <wp:posOffset>1986280</wp:posOffset>
                </wp:positionV>
                <wp:extent cx="704850" cy="203200"/>
                <wp:effectExtent l="0" t="0" r="0" b="63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06.75pt;margin-top:156.4pt;width:55.5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s7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7</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8720" behindDoc="0" locked="0" layoutInCell="1" allowOverlap="1" wp14:anchorId="3DABA97C" wp14:editId="7D91D0BC">
                <wp:simplePos x="0" y="0"/>
                <wp:positionH relativeFrom="column">
                  <wp:posOffset>-2689225</wp:posOffset>
                </wp:positionH>
                <wp:positionV relativeFrom="paragraph">
                  <wp:posOffset>2208530</wp:posOffset>
                </wp:positionV>
                <wp:extent cx="704850" cy="203200"/>
                <wp:effectExtent l="0" t="0" r="0" b="635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11.75pt;margin-top:173.9pt;width:55.5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lE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8</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79744" behindDoc="0" locked="0" layoutInCell="1" allowOverlap="1" wp14:anchorId="5E01C291" wp14:editId="049221B3">
                <wp:simplePos x="0" y="0"/>
                <wp:positionH relativeFrom="column">
                  <wp:posOffset>-2708275</wp:posOffset>
                </wp:positionH>
                <wp:positionV relativeFrom="paragraph">
                  <wp:posOffset>2418080</wp:posOffset>
                </wp:positionV>
                <wp:extent cx="704850" cy="203200"/>
                <wp:effectExtent l="0" t="0" r="0" b="635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13.25pt;margin-top:190.4pt;width:55.5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Wi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80768" behindDoc="0" locked="0" layoutInCell="1" allowOverlap="1" wp14:anchorId="75238E84" wp14:editId="701F4A86">
                <wp:simplePos x="0" y="0"/>
                <wp:positionH relativeFrom="column">
                  <wp:posOffset>-2771775</wp:posOffset>
                </wp:positionH>
                <wp:positionV relativeFrom="paragraph">
                  <wp:posOffset>2646680</wp:posOffset>
                </wp:positionV>
                <wp:extent cx="704850" cy="203200"/>
                <wp:effectExtent l="0" t="0" r="0" b="635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8.25pt;margin-top:208.4pt;width:55.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QvuQ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10</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81792" behindDoc="0" locked="0" layoutInCell="1" allowOverlap="1" wp14:anchorId="7B7AD828" wp14:editId="32C382E0">
                <wp:simplePos x="0" y="0"/>
                <wp:positionH relativeFrom="column">
                  <wp:posOffset>-2828925</wp:posOffset>
                </wp:positionH>
                <wp:positionV relativeFrom="paragraph">
                  <wp:posOffset>2856230</wp:posOffset>
                </wp:positionV>
                <wp:extent cx="704850" cy="203200"/>
                <wp:effectExtent l="0" t="0" r="0" b="635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22.75pt;margin-top:224.9pt;width:55.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6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82816" behindDoc="0" locked="0" layoutInCell="1" allowOverlap="1" wp14:anchorId="11808719" wp14:editId="0ACB74A5">
                <wp:simplePos x="0" y="0"/>
                <wp:positionH relativeFrom="column">
                  <wp:posOffset>-2879090</wp:posOffset>
                </wp:positionH>
                <wp:positionV relativeFrom="paragraph">
                  <wp:posOffset>3104515</wp:posOffset>
                </wp:positionV>
                <wp:extent cx="704850" cy="203200"/>
                <wp:effectExtent l="0" t="0" r="0" b="635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26.7pt;margin-top:244.45pt;width:55.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U6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" filled="f" stroked="f">
                <v:textbox>
                  <w:txbxContent>
                    <w:p w:rsidR="00010BA5" w:rsidRPr="00307584" w:rsidRDefault="00010BA5" w:rsidP="00622048">
                      <w:pPr>
                        <w:rPr>
                          <w:rFonts w:ascii="Arial" w:hAnsi="Arial" w:cs="Arial"/>
                          <w:b/>
                          <w:sz w:val="14"/>
                          <w:szCs w:val="14"/>
                        </w:rPr>
                      </w:pPr>
                      <w:r w:rsidRPr="00307584">
                        <w:rPr>
                          <w:rFonts w:ascii="Arial" w:hAnsi="Arial" w:cs="Arial"/>
                          <w:b/>
                          <w:sz w:val="14"/>
                          <w:szCs w:val="14"/>
                        </w:rPr>
                        <w:t>LOT 12</w:t>
                      </w:r>
                    </w:p>
                  </w:txbxContent>
                </v:textbox>
              </v:shape>
            </w:pict>
          </mc:Fallback>
        </mc:AlternateContent>
      </w:r>
      <w:r w:rsidR="00622048" w:rsidRPr="00225483">
        <w:rPr>
          <w:rFonts w:ascii="Trebuchet MS" w:eastAsia="Times New Roman" w:hAnsi="Trebuchet MS" w:cs="Times New Roman"/>
          <w:b/>
          <w:color w:val="000000"/>
          <w:sz w:val="19"/>
          <w:lang w:eastAsia="en-AU"/>
        </w:rPr>
        <w:t xml:space="preserve">MAP C: </w:t>
      </w:r>
      <w:r w:rsidR="007A7E44" w:rsidRPr="00877A9D">
        <w:rPr>
          <w:rFonts w:ascii="Trebuchet MS" w:eastAsia="Times New Roman" w:hAnsi="Trebuchet MS" w:cs="Times New Roman"/>
          <w:b/>
          <w:i/>
          <w:color w:val="000000"/>
          <w:sz w:val="19"/>
          <w:lang w:eastAsia="en-AU"/>
        </w:rPr>
        <w:t xml:space="preserve">Extract </w:t>
      </w:r>
      <w:r w:rsidR="007A7E44">
        <w:rPr>
          <w:rFonts w:ascii="Trebuchet MS" w:eastAsia="Times New Roman" w:hAnsi="Trebuchet MS" w:cs="Times New Roman"/>
          <w:b/>
          <w:i/>
          <w:color w:val="000000"/>
          <w:sz w:val="19"/>
          <w:lang w:eastAsia="en-AU"/>
        </w:rPr>
        <w:t>–</w:t>
      </w:r>
      <w:r w:rsidR="007A7E44">
        <w:rPr>
          <w:rFonts w:ascii="Trebuchet MS" w:eastAsia="Times New Roman" w:hAnsi="Trebuchet MS" w:cs="Times New Roman"/>
          <w:b/>
          <w:color w:val="000000"/>
          <w:sz w:val="19"/>
          <w:lang w:eastAsia="en-AU"/>
        </w:rPr>
        <w:t xml:space="preserve"> </w:t>
      </w:r>
      <w:r w:rsidR="007A7E44" w:rsidRPr="00225483">
        <w:rPr>
          <w:rFonts w:ascii="Trebuchet MS" w:eastAsia="Times New Roman" w:hAnsi="Trebuchet MS" w:cs="Times New Roman"/>
          <w:b/>
          <w:color w:val="000000"/>
          <w:sz w:val="19"/>
          <w:lang w:eastAsia="en-AU"/>
        </w:rPr>
        <w:t>M</w:t>
      </w:r>
      <w:r w:rsidR="007A7E44">
        <w:rPr>
          <w:rFonts w:ascii="Trebuchet MS" w:eastAsia="Times New Roman" w:hAnsi="Trebuchet MS" w:cs="Times New Roman"/>
          <w:b/>
          <w:color w:val="000000"/>
          <w:sz w:val="19"/>
          <w:lang w:eastAsia="en-AU"/>
        </w:rPr>
        <w:t xml:space="preserve">uswellbrook </w:t>
      </w:r>
      <w:r w:rsidR="00622048" w:rsidRPr="00225483">
        <w:rPr>
          <w:rFonts w:ascii="Trebuchet MS" w:eastAsia="Times New Roman" w:hAnsi="Trebuchet MS" w:cs="Times New Roman"/>
          <w:b/>
          <w:color w:val="000000"/>
          <w:sz w:val="19"/>
          <w:lang w:eastAsia="en-AU"/>
        </w:rPr>
        <w:t>LEP 2009 Height of Building Map Sheet HOB-013</w:t>
      </w:r>
    </w:p>
    <w:p w:rsidR="00622048" w:rsidRPr="00225483" w:rsidRDefault="00622048" w:rsidP="00225483">
      <w:pPr>
        <w:spacing w:before="240" w:after="240" w:line="280" w:lineRule="exact"/>
        <w:contextualSpacing/>
        <w:jc w:val="both"/>
        <w:rPr>
          <w:rFonts w:ascii="Trebuchet MS" w:eastAsia="Times New Roman" w:hAnsi="Trebuchet MS" w:cs="Times New Roman"/>
          <w:b/>
          <w:color w:val="000000"/>
          <w:sz w:val="19"/>
          <w:lang w:eastAsia="en-AU"/>
        </w:rPr>
      </w:pPr>
    </w:p>
    <w:p w:rsidR="00622048" w:rsidRPr="00225483" w:rsidRDefault="00903202" w:rsidP="00225483">
      <w:pPr>
        <w:spacing w:before="240" w:after="240" w:line="280" w:lineRule="exact"/>
        <w:contextualSpacing/>
        <w:jc w:val="both"/>
        <w:rPr>
          <w:rFonts w:ascii="Trebuchet MS" w:eastAsia="Times New Roman" w:hAnsi="Trebuchet MS" w:cs="Times New Roman"/>
          <w:bCs/>
          <w:i/>
          <w:iCs/>
          <w:color w:val="000000"/>
          <w:sz w:val="17"/>
          <w:lang w:eastAsia="en-AU"/>
        </w:rPr>
      </w:pPr>
      <w:r>
        <w:rPr>
          <w:rFonts w:ascii="Trebuchet MS" w:eastAsia="Times New Roman" w:hAnsi="Trebuchet MS" w:cs="Times New Roman"/>
          <w:b/>
          <w:bCs/>
          <w:i/>
          <w:iCs/>
          <w:noProof/>
          <w:color w:val="000000"/>
          <w:sz w:val="17"/>
          <w:lang w:eastAsia="en-AU"/>
        </w:rPr>
        <w:drawing>
          <wp:anchor distT="0" distB="0" distL="114300" distR="114300" simplePos="0" relativeHeight="251687936" behindDoc="0" locked="0" layoutInCell="1" allowOverlap="1" wp14:anchorId="3A469803" wp14:editId="41427C2A">
            <wp:simplePos x="0" y="0"/>
            <wp:positionH relativeFrom="column">
              <wp:align>left</wp:align>
            </wp:positionH>
            <wp:positionV relativeFrom="paragraph">
              <wp:posOffset>382270</wp:posOffset>
            </wp:positionV>
            <wp:extent cx="4091940" cy="3617595"/>
            <wp:effectExtent l="25400" t="0" r="0" b="0"/>
            <wp:wrapTopAndBottom/>
            <wp:docPr id="4" name="Picture 4" descr="::Maps:HOB_013_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HOB_013_Existing.png"/>
                    <pic:cNvPicPr>
                      <a:picLocks noChangeAspect="1" noChangeArrowheads="1"/>
                    </pic:cNvPicPr>
                  </pic:nvPicPr>
                  <pic:blipFill>
                    <a:blip r:embed="rId21"/>
                    <a:srcRect/>
                    <a:stretch>
                      <a:fillRect/>
                    </a:stretch>
                  </pic:blipFill>
                  <pic:spPr bwMode="auto">
                    <a:xfrm>
                      <a:off x="0" y="0"/>
                      <a:ext cx="4091940" cy="3617595"/>
                    </a:xfrm>
                    <a:prstGeom prst="rect">
                      <a:avLst/>
                    </a:prstGeom>
                    <a:noFill/>
                    <a:ln w="9525">
                      <a:noFill/>
                      <a:miter lim="800000"/>
                      <a:headEnd/>
                      <a:tailEnd/>
                    </a:ln>
                  </pic:spPr>
                </pic:pic>
              </a:graphicData>
            </a:graphic>
          </wp:anchor>
        </w:drawing>
      </w:r>
      <w:r w:rsidR="00225483" w:rsidRPr="00225483">
        <w:rPr>
          <w:rFonts w:ascii="Trebuchet MS" w:eastAsia="Times New Roman" w:hAnsi="Trebuchet MS" w:cs="Times New Roman"/>
          <w:b/>
          <w:bCs/>
          <w:i/>
          <w:iCs/>
          <w:color w:val="000000"/>
          <w:sz w:val="17"/>
          <w:lang w:eastAsia="en-AU"/>
        </w:rPr>
        <w:t>(a)</w:t>
      </w:r>
      <w:r w:rsidR="00622048" w:rsidRPr="00225483">
        <w:rPr>
          <w:rFonts w:ascii="Trebuchet MS" w:eastAsia="Times New Roman" w:hAnsi="Trebuchet MS" w:cs="Times New Roman"/>
          <w:bCs/>
          <w:i/>
          <w:iCs/>
          <w:color w:val="000000"/>
          <w:sz w:val="17"/>
          <w:lang w:eastAsia="en-AU"/>
        </w:rPr>
        <w:t xml:space="preserve"> Current Height of Building </w:t>
      </w:r>
      <w:r w:rsidR="00D70AA4">
        <w:rPr>
          <w:rFonts w:ascii="Trebuchet MS" w:eastAsia="Times New Roman" w:hAnsi="Trebuchet MS" w:cs="Times New Roman"/>
          <w:bCs/>
          <w:i/>
          <w:iCs/>
          <w:color w:val="000000"/>
          <w:sz w:val="17"/>
          <w:lang w:eastAsia="en-AU"/>
        </w:rPr>
        <w:t>- - Denman</w:t>
      </w:r>
    </w:p>
    <w:p w:rsidR="00622048" w:rsidRDefault="00622048" w:rsidP="000E275D">
      <w:pPr>
        <w:widowControl w:val="0"/>
        <w:suppressAutoHyphens/>
        <w:autoSpaceDE w:val="0"/>
        <w:autoSpaceDN w:val="0"/>
        <w:adjustRightInd w:val="0"/>
        <w:spacing w:after="0" w:line="300" w:lineRule="atLeast"/>
        <w:textAlignment w:val="center"/>
        <w:rPr>
          <w:rFonts w:ascii="MBembo" w:hAnsi="MBembo" w:cs="MBembo"/>
          <w:color w:val="000000"/>
          <w:sz w:val="22"/>
          <w:szCs w:val="22"/>
          <w:lang w:val="en-GB"/>
        </w:rPr>
      </w:pPr>
    </w:p>
    <w:p w:rsidR="009420FB" w:rsidRDefault="009420FB" w:rsidP="007769F5">
      <w:pPr>
        <w:widowControl w:val="0"/>
        <w:suppressAutoHyphens/>
        <w:autoSpaceDE w:val="0"/>
        <w:autoSpaceDN w:val="0"/>
        <w:adjustRightInd w:val="0"/>
        <w:spacing w:after="0" w:line="300" w:lineRule="atLeast"/>
        <w:textAlignment w:val="center"/>
        <w:rPr>
          <w:rFonts w:ascii="Trebuchet MS" w:eastAsia="Times New Roman" w:hAnsi="Trebuchet MS" w:cs="Times New Roman"/>
          <w:b/>
          <w:bCs/>
          <w:i/>
          <w:iCs/>
          <w:color w:val="000000"/>
          <w:sz w:val="17"/>
          <w:lang w:eastAsia="en-AU"/>
        </w:rPr>
      </w:pPr>
    </w:p>
    <w:p w:rsidR="00622048" w:rsidRPr="001C0BC3" w:rsidRDefault="001C0BC3" w:rsidP="007769F5">
      <w:pPr>
        <w:widowControl w:val="0"/>
        <w:suppressAutoHyphens/>
        <w:autoSpaceDE w:val="0"/>
        <w:autoSpaceDN w:val="0"/>
        <w:adjustRightInd w:val="0"/>
        <w:spacing w:after="0" w:line="300" w:lineRule="atLeast"/>
        <w:textAlignment w:val="center"/>
        <w:rPr>
          <w:rFonts w:ascii="Trebuchet MS" w:eastAsia="Times New Roman" w:hAnsi="Trebuchet MS" w:cs="Times New Roman"/>
          <w:bCs/>
          <w:i/>
          <w:iCs/>
          <w:color w:val="000000"/>
          <w:sz w:val="17"/>
          <w:lang w:eastAsia="en-AU"/>
        </w:rPr>
      </w:pPr>
      <w:r w:rsidRPr="001C0BC3">
        <w:rPr>
          <w:rFonts w:ascii="Trebuchet MS" w:eastAsia="Times New Roman" w:hAnsi="Trebuchet MS" w:cs="Times New Roman"/>
          <w:b/>
          <w:bCs/>
          <w:i/>
          <w:iCs/>
          <w:color w:val="000000"/>
          <w:sz w:val="17"/>
          <w:lang w:eastAsia="en-AU"/>
        </w:rPr>
        <w:t>(b)</w:t>
      </w:r>
      <w:r w:rsidR="00622048" w:rsidRPr="001C0BC3">
        <w:rPr>
          <w:rFonts w:ascii="Trebuchet MS" w:eastAsia="Times New Roman" w:hAnsi="Trebuchet MS" w:cs="Times New Roman"/>
          <w:bCs/>
          <w:i/>
          <w:iCs/>
          <w:color w:val="000000"/>
          <w:sz w:val="17"/>
          <w:lang w:eastAsia="en-AU"/>
        </w:rPr>
        <w:t xml:space="preserve"> Proposed Height of Building </w:t>
      </w:r>
      <w:r w:rsidR="00D70AA4">
        <w:rPr>
          <w:rFonts w:ascii="Trebuchet MS" w:eastAsia="Times New Roman" w:hAnsi="Trebuchet MS" w:cs="Times New Roman"/>
          <w:bCs/>
          <w:i/>
          <w:iCs/>
          <w:color w:val="000000"/>
          <w:sz w:val="17"/>
          <w:lang w:eastAsia="en-AU"/>
        </w:rPr>
        <w:t>–- Denman</w:t>
      </w:r>
    </w:p>
    <w:p w:rsidR="00EB098A" w:rsidRDefault="00903202" w:rsidP="001C0BC3">
      <w:pPr>
        <w:spacing w:before="240" w:after="240" w:line="280" w:lineRule="exact"/>
        <w:contextualSpacing/>
        <w:jc w:val="both"/>
        <w:rPr>
          <w:rFonts w:ascii="MBembo" w:hAnsi="MBembo" w:cs="MBembo"/>
          <w:color w:val="000000"/>
          <w:sz w:val="22"/>
          <w:szCs w:val="22"/>
          <w:lang w:val="en-GB"/>
        </w:rPr>
      </w:pPr>
      <w:r>
        <w:rPr>
          <w:rFonts w:ascii="MBembo" w:hAnsi="MBembo" w:cs="MBembo"/>
          <w:noProof/>
          <w:color w:val="000000"/>
          <w:sz w:val="22"/>
          <w:szCs w:val="22"/>
          <w:lang w:eastAsia="en-AU"/>
        </w:rPr>
        <w:drawing>
          <wp:anchor distT="0" distB="0" distL="114300" distR="114300" simplePos="0" relativeHeight="251688960" behindDoc="0" locked="0" layoutInCell="1" allowOverlap="1" wp14:anchorId="2EA21F44" wp14:editId="1C963C89">
            <wp:simplePos x="0" y="0"/>
            <wp:positionH relativeFrom="column">
              <wp:posOffset>-635</wp:posOffset>
            </wp:positionH>
            <wp:positionV relativeFrom="paragraph">
              <wp:posOffset>211455</wp:posOffset>
            </wp:positionV>
            <wp:extent cx="4091940" cy="3617595"/>
            <wp:effectExtent l="25400" t="0" r="0" b="0"/>
            <wp:wrapTopAndBottom/>
            <wp:docPr id="30" name="Picture 30" descr="HOB_013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_013_Proposed.jpg"/>
                    <pic:cNvPicPr/>
                  </pic:nvPicPr>
                  <pic:blipFill>
                    <a:blip r:embed="rId22"/>
                    <a:stretch>
                      <a:fillRect/>
                    </a:stretch>
                  </pic:blipFill>
                  <pic:spPr>
                    <a:xfrm>
                      <a:off x="0" y="0"/>
                      <a:ext cx="4091940" cy="3617595"/>
                    </a:xfrm>
                    <a:prstGeom prst="rect">
                      <a:avLst/>
                    </a:prstGeom>
                  </pic:spPr>
                </pic:pic>
              </a:graphicData>
            </a:graphic>
          </wp:anchor>
        </w:drawing>
      </w:r>
    </w:p>
    <w:p w:rsidR="00200BDC" w:rsidRDefault="00200BDC" w:rsidP="001C0BC3">
      <w:pPr>
        <w:spacing w:before="240" w:after="240" w:line="280" w:lineRule="exact"/>
        <w:contextualSpacing/>
        <w:jc w:val="both"/>
        <w:rPr>
          <w:rFonts w:ascii="MBembo" w:hAnsi="MBembo" w:cs="MBembo"/>
          <w:color w:val="000000"/>
          <w:sz w:val="22"/>
          <w:szCs w:val="22"/>
          <w:lang w:val="en-GB"/>
        </w:rPr>
      </w:pPr>
    </w:p>
    <w:p w:rsidR="0011425D" w:rsidRDefault="0011425D" w:rsidP="0011425D">
      <w:pPr>
        <w:spacing w:before="240" w:after="240" w:line="280" w:lineRule="exact"/>
        <w:contextualSpacing/>
        <w:jc w:val="both"/>
        <w:rPr>
          <w:rFonts w:ascii="Trebuchet MS" w:eastAsia="Times New Roman" w:hAnsi="Trebuchet MS" w:cs="Times New Roman"/>
          <w:b/>
          <w:color w:val="000000"/>
          <w:sz w:val="19"/>
          <w:lang w:eastAsia="en-AU"/>
        </w:rPr>
      </w:pPr>
      <w:r>
        <w:rPr>
          <w:rFonts w:ascii="Trebuchet MS" w:eastAsia="Times New Roman" w:hAnsi="Trebuchet MS" w:cs="Times New Roman"/>
          <w:b/>
          <w:noProof/>
          <w:color w:val="000000"/>
          <w:sz w:val="19"/>
          <w:lang w:eastAsia="en-AU"/>
        </w:rPr>
        <w:lastRenderedPageBreak/>
        <mc:AlternateContent>
          <mc:Choice Requires="wps">
            <w:drawing>
              <wp:anchor distT="0" distB="0" distL="114300" distR="114300" simplePos="0" relativeHeight="251694080" behindDoc="0" locked="0" layoutInCell="1" allowOverlap="1" wp14:anchorId="56660216" wp14:editId="226AFA0F">
                <wp:simplePos x="0" y="0"/>
                <wp:positionH relativeFrom="column">
                  <wp:posOffset>-2555240</wp:posOffset>
                </wp:positionH>
                <wp:positionV relativeFrom="paragraph">
                  <wp:posOffset>1713230</wp:posOffset>
                </wp:positionV>
                <wp:extent cx="704850" cy="203200"/>
                <wp:effectExtent l="0" t="0" r="0" b="635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01.2pt;margin-top:134.9pt;width:55.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V8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56</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95104" behindDoc="0" locked="0" layoutInCell="1" allowOverlap="1" wp14:anchorId="7D07D2C9" wp14:editId="302E51D8">
                <wp:simplePos x="0" y="0"/>
                <wp:positionH relativeFrom="column">
                  <wp:posOffset>-2625725</wp:posOffset>
                </wp:positionH>
                <wp:positionV relativeFrom="paragraph">
                  <wp:posOffset>1986280</wp:posOffset>
                </wp:positionV>
                <wp:extent cx="704850" cy="203200"/>
                <wp:effectExtent l="0" t="0" r="0" b="635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06.75pt;margin-top:156.4pt;width:55.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zF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7</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96128" behindDoc="0" locked="0" layoutInCell="1" allowOverlap="1" wp14:anchorId="7C06A9CD" wp14:editId="26AD119D">
                <wp:simplePos x="0" y="0"/>
                <wp:positionH relativeFrom="column">
                  <wp:posOffset>-2689225</wp:posOffset>
                </wp:positionH>
                <wp:positionV relativeFrom="paragraph">
                  <wp:posOffset>2208530</wp:posOffset>
                </wp:positionV>
                <wp:extent cx="704850" cy="203200"/>
                <wp:effectExtent l="0" t="0" r="0" b="635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11.75pt;margin-top:173.9pt;width:55.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pT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8</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97152" behindDoc="0" locked="0" layoutInCell="1" allowOverlap="1" wp14:anchorId="58897C57" wp14:editId="2D73FA50">
                <wp:simplePos x="0" y="0"/>
                <wp:positionH relativeFrom="column">
                  <wp:posOffset>-2708275</wp:posOffset>
                </wp:positionH>
                <wp:positionV relativeFrom="paragraph">
                  <wp:posOffset>2418080</wp:posOffset>
                </wp:positionV>
                <wp:extent cx="704850" cy="203200"/>
                <wp:effectExtent l="0" t="0" r="0" b="635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13.25pt;margin-top:190.4pt;width:55.5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mk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98176" behindDoc="0" locked="0" layoutInCell="1" allowOverlap="1" wp14:anchorId="55568755" wp14:editId="7392B186">
                <wp:simplePos x="0" y="0"/>
                <wp:positionH relativeFrom="column">
                  <wp:posOffset>-2771775</wp:posOffset>
                </wp:positionH>
                <wp:positionV relativeFrom="paragraph">
                  <wp:posOffset>2646680</wp:posOffset>
                </wp:positionV>
                <wp:extent cx="704850" cy="203200"/>
                <wp:effectExtent l="0" t="0" r="0" b="635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18.25pt;margin-top:208.4pt;width:55.5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dPuQ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10</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699200" behindDoc="0" locked="0" layoutInCell="1" allowOverlap="1" wp14:anchorId="5DB1663A" wp14:editId="79ABA558">
                <wp:simplePos x="0" y="0"/>
                <wp:positionH relativeFrom="column">
                  <wp:posOffset>-2828925</wp:posOffset>
                </wp:positionH>
                <wp:positionV relativeFrom="paragraph">
                  <wp:posOffset>2856230</wp:posOffset>
                </wp:positionV>
                <wp:extent cx="704850" cy="203200"/>
                <wp:effectExtent l="0" t="0" r="0" b="635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22.75pt;margin-top:224.9pt;width:55.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sx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11</w:t>
                      </w:r>
                    </w:p>
                  </w:txbxContent>
                </v:textbox>
              </v:shape>
            </w:pict>
          </mc:Fallback>
        </mc:AlternateContent>
      </w:r>
      <w:r>
        <w:rPr>
          <w:rFonts w:ascii="Trebuchet MS" w:eastAsia="Times New Roman" w:hAnsi="Trebuchet MS" w:cs="Times New Roman"/>
          <w:b/>
          <w:noProof/>
          <w:color w:val="000000"/>
          <w:sz w:val="19"/>
          <w:lang w:eastAsia="en-AU"/>
        </w:rPr>
        <mc:AlternateContent>
          <mc:Choice Requires="wps">
            <w:drawing>
              <wp:anchor distT="0" distB="0" distL="114300" distR="114300" simplePos="0" relativeHeight="251700224" behindDoc="0" locked="0" layoutInCell="1" allowOverlap="1" wp14:anchorId="48F31ED9" wp14:editId="31F34AAB">
                <wp:simplePos x="0" y="0"/>
                <wp:positionH relativeFrom="column">
                  <wp:posOffset>-2879090</wp:posOffset>
                </wp:positionH>
                <wp:positionV relativeFrom="paragraph">
                  <wp:posOffset>3104515</wp:posOffset>
                </wp:positionV>
                <wp:extent cx="704850" cy="203200"/>
                <wp:effectExtent l="0" t="0" r="0" b="635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26.7pt;margin-top:244.45pt;width:55.5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2c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" filled="f" stroked="f">
                <v:textbox>
                  <w:txbxContent>
                    <w:p w:rsidR="0011425D" w:rsidRPr="00307584" w:rsidRDefault="0011425D" w:rsidP="0011425D">
                      <w:pPr>
                        <w:rPr>
                          <w:rFonts w:ascii="Arial" w:hAnsi="Arial" w:cs="Arial"/>
                          <w:b/>
                          <w:sz w:val="14"/>
                          <w:szCs w:val="14"/>
                        </w:rPr>
                      </w:pPr>
                      <w:r w:rsidRPr="00307584">
                        <w:rPr>
                          <w:rFonts w:ascii="Arial" w:hAnsi="Arial" w:cs="Arial"/>
                          <w:b/>
                          <w:sz w:val="14"/>
                          <w:szCs w:val="14"/>
                        </w:rPr>
                        <w:t>LOT 12</w:t>
                      </w:r>
                    </w:p>
                  </w:txbxContent>
                </v:textbox>
              </v:shape>
            </w:pict>
          </mc:Fallback>
        </mc:AlternateContent>
      </w:r>
      <w:r w:rsidRPr="00225483">
        <w:rPr>
          <w:rFonts w:ascii="Trebuchet MS" w:eastAsia="Times New Roman" w:hAnsi="Trebuchet MS" w:cs="Times New Roman"/>
          <w:b/>
          <w:color w:val="000000"/>
          <w:sz w:val="19"/>
          <w:lang w:eastAsia="en-AU"/>
        </w:rPr>
        <w:t xml:space="preserve">MAP </w:t>
      </w:r>
      <w:r>
        <w:rPr>
          <w:rFonts w:ascii="Trebuchet MS" w:eastAsia="Times New Roman" w:hAnsi="Trebuchet MS" w:cs="Times New Roman"/>
          <w:b/>
          <w:color w:val="000000"/>
          <w:sz w:val="19"/>
          <w:lang w:eastAsia="en-AU"/>
        </w:rPr>
        <w:t>D</w:t>
      </w:r>
      <w:r w:rsidRPr="00225483">
        <w:rPr>
          <w:rFonts w:ascii="Trebuchet MS" w:eastAsia="Times New Roman" w:hAnsi="Trebuchet MS" w:cs="Times New Roman"/>
          <w:b/>
          <w:color w:val="000000"/>
          <w:sz w:val="19"/>
          <w:lang w:eastAsia="en-AU"/>
        </w:rPr>
        <w:t xml:space="preserve">: </w:t>
      </w:r>
      <w:r w:rsidRPr="00877A9D">
        <w:rPr>
          <w:rFonts w:ascii="Trebuchet MS" w:eastAsia="Times New Roman" w:hAnsi="Trebuchet MS" w:cs="Times New Roman"/>
          <w:b/>
          <w:i/>
          <w:color w:val="000000"/>
          <w:sz w:val="19"/>
          <w:lang w:eastAsia="en-AU"/>
        </w:rPr>
        <w:t xml:space="preserve">Extract </w:t>
      </w:r>
      <w:r>
        <w:rPr>
          <w:rFonts w:ascii="Trebuchet MS" w:eastAsia="Times New Roman" w:hAnsi="Trebuchet MS" w:cs="Times New Roman"/>
          <w:b/>
          <w:i/>
          <w:color w:val="000000"/>
          <w:sz w:val="19"/>
          <w:lang w:eastAsia="en-AU"/>
        </w:rPr>
        <w:t>–</w:t>
      </w:r>
      <w:r>
        <w:rPr>
          <w:rFonts w:ascii="Trebuchet MS" w:eastAsia="Times New Roman" w:hAnsi="Trebuchet MS" w:cs="Times New Roman"/>
          <w:b/>
          <w:color w:val="000000"/>
          <w:sz w:val="19"/>
          <w:lang w:eastAsia="en-AU"/>
        </w:rPr>
        <w:t xml:space="preserve"> </w:t>
      </w:r>
      <w:r w:rsidRPr="00225483">
        <w:rPr>
          <w:rFonts w:ascii="Trebuchet MS" w:eastAsia="Times New Roman" w:hAnsi="Trebuchet MS" w:cs="Times New Roman"/>
          <w:b/>
          <w:color w:val="000000"/>
          <w:sz w:val="19"/>
          <w:lang w:eastAsia="en-AU"/>
        </w:rPr>
        <w:t>M</w:t>
      </w:r>
      <w:r>
        <w:rPr>
          <w:rFonts w:ascii="Trebuchet MS" w:eastAsia="Times New Roman" w:hAnsi="Trebuchet MS" w:cs="Times New Roman"/>
          <w:b/>
          <w:color w:val="000000"/>
          <w:sz w:val="19"/>
          <w:lang w:eastAsia="en-AU"/>
        </w:rPr>
        <w:t xml:space="preserve">uswellbrook </w:t>
      </w:r>
      <w:r w:rsidRPr="00225483">
        <w:rPr>
          <w:rFonts w:ascii="Trebuchet MS" w:eastAsia="Times New Roman" w:hAnsi="Trebuchet MS" w:cs="Times New Roman"/>
          <w:b/>
          <w:color w:val="000000"/>
          <w:sz w:val="19"/>
          <w:lang w:eastAsia="en-AU"/>
        </w:rPr>
        <w:t xml:space="preserve">LEP 2009 </w:t>
      </w:r>
      <w:r>
        <w:rPr>
          <w:rFonts w:ascii="Trebuchet MS" w:eastAsia="Times New Roman" w:hAnsi="Trebuchet MS" w:cs="Times New Roman"/>
          <w:b/>
          <w:color w:val="000000"/>
          <w:sz w:val="19"/>
          <w:lang w:eastAsia="en-AU"/>
        </w:rPr>
        <w:t xml:space="preserve">Urban Release Area </w:t>
      </w:r>
      <w:r w:rsidRPr="00225483">
        <w:rPr>
          <w:rFonts w:ascii="Trebuchet MS" w:eastAsia="Times New Roman" w:hAnsi="Trebuchet MS" w:cs="Times New Roman"/>
          <w:b/>
          <w:color w:val="000000"/>
          <w:sz w:val="19"/>
          <w:lang w:eastAsia="en-AU"/>
        </w:rPr>
        <w:t>Map</w:t>
      </w:r>
      <w:r w:rsidR="00981031">
        <w:rPr>
          <w:rFonts w:ascii="Trebuchet MS" w:eastAsia="Times New Roman" w:hAnsi="Trebuchet MS" w:cs="Times New Roman"/>
          <w:b/>
          <w:color w:val="000000"/>
          <w:sz w:val="19"/>
          <w:lang w:eastAsia="en-AU"/>
        </w:rPr>
        <w:t xml:space="preserve"> (</w:t>
      </w:r>
      <w:r>
        <w:rPr>
          <w:rFonts w:ascii="Trebuchet MS" w:eastAsia="Times New Roman" w:hAnsi="Trebuchet MS" w:cs="Times New Roman"/>
          <w:b/>
          <w:color w:val="000000"/>
          <w:sz w:val="19"/>
          <w:lang w:eastAsia="en-AU"/>
        </w:rPr>
        <w:t>URA_005 and 005B</w:t>
      </w:r>
      <w:r w:rsidR="00981031">
        <w:rPr>
          <w:rFonts w:ascii="Trebuchet MS" w:eastAsia="Times New Roman" w:hAnsi="Trebuchet MS" w:cs="Times New Roman"/>
          <w:b/>
          <w:color w:val="000000"/>
          <w:sz w:val="19"/>
          <w:lang w:eastAsia="en-AU"/>
        </w:rPr>
        <w:t>)</w:t>
      </w:r>
    </w:p>
    <w:p w:rsidR="0011425D" w:rsidRPr="00225483" w:rsidRDefault="0011425D" w:rsidP="0011425D">
      <w:pPr>
        <w:spacing w:before="240" w:after="240" w:line="280" w:lineRule="exact"/>
        <w:contextualSpacing/>
        <w:jc w:val="both"/>
        <w:rPr>
          <w:rFonts w:ascii="Trebuchet MS" w:eastAsia="Times New Roman" w:hAnsi="Trebuchet MS" w:cs="Times New Roman"/>
          <w:b/>
          <w:color w:val="000000"/>
          <w:sz w:val="19"/>
          <w:lang w:eastAsia="en-AU"/>
        </w:rPr>
      </w:pPr>
    </w:p>
    <w:p w:rsidR="0011425D" w:rsidRDefault="0011425D" w:rsidP="0011425D">
      <w:pPr>
        <w:spacing w:before="240" w:after="240" w:line="280" w:lineRule="exact"/>
        <w:contextualSpacing/>
        <w:jc w:val="both"/>
        <w:rPr>
          <w:rFonts w:ascii="Trebuchet MS" w:eastAsia="Times New Roman" w:hAnsi="Trebuchet MS" w:cs="Times New Roman"/>
          <w:bCs/>
          <w:i/>
          <w:iCs/>
          <w:color w:val="000000"/>
          <w:sz w:val="17"/>
          <w:lang w:eastAsia="en-AU"/>
        </w:rPr>
      </w:pPr>
      <w:r w:rsidRPr="00225483">
        <w:rPr>
          <w:rFonts w:ascii="Trebuchet MS" w:eastAsia="Times New Roman" w:hAnsi="Trebuchet MS" w:cs="Times New Roman"/>
          <w:b/>
          <w:bCs/>
          <w:i/>
          <w:iCs/>
          <w:color w:val="000000"/>
          <w:sz w:val="17"/>
          <w:lang w:eastAsia="en-AU"/>
        </w:rPr>
        <w:t>(a)</w:t>
      </w:r>
      <w:r w:rsidRPr="00225483">
        <w:rPr>
          <w:rFonts w:ascii="Trebuchet MS" w:eastAsia="Times New Roman" w:hAnsi="Trebuchet MS" w:cs="Times New Roman"/>
          <w:bCs/>
          <w:i/>
          <w:iCs/>
          <w:color w:val="000000"/>
          <w:sz w:val="17"/>
          <w:lang w:eastAsia="en-AU"/>
        </w:rPr>
        <w:t xml:space="preserve"> Current </w:t>
      </w:r>
      <w:r w:rsidR="00981031">
        <w:rPr>
          <w:rFonts w:ascii="Trebuchet MS" w:eastAsia="Times New Roman" w:hAnsi="Trebuchet MS" w:cs="Times New Roman"/>
          <w:bCs/>
          <w:i/>
          <w:iCs/>
          <w:color w:val="000000"/>
          <w:sz w:val="17"/>
          <w:lang w:eastAsia="en-AU"/>
        </w:rPr>
        <w:t xml:space="preserve">Urban Release Area </w:t>
      </w:r>
      <w:r>
        <w:rPr>
          <w:rFonts w:ascii="Trebuchet MS" w:eastAsia="Times New Roman" w:hAnsi="Trebuchet MS" w:cs="Times New Roman"/>
          <w:bCs/>
          <w:i/>
          <w:iCs/>
          <w:color w:val="000000"/>
          <w:sz w:val="17"/>
          <w:lang w:eastAsia="en-AU"/>
        </w:rPr>
        <w:t>- Denman</w:t>
      </w:r>
    </w:p>
    <w:p w:rsidR="005C3C96" w:rsidRPr="00225483" w:rsidRDefault="005C3C96" w:rsidP="0011425D">
      <w:pPr>
        <w:spacing w:before="240" w:after="240" w:line="280" w:lineRule="exact"/>
        <w:contextualSpacing/>
        <w:jc w:val="both"/>
        <w:rPr>
          <w:rFonts w:ascii="Trebuchet MS" w:eastAsia="Times New Roman" w:hAnsi="Trebuchet MS" w:cs="Times New Roman"/>
          <w:bCs/>
          <w:i/>
          <w:iCs/>
          <w:color w:val="000000"/>
          <w:sz w:val="17"/>
          <w:lang w:eastAsia="en-AU"/>
        </w:rPr>
      </w:pPr>
    </w:p>
    <w:p w:rsidR="0011425D" w:rsidRDefault="00981031" w:rsidP="0011425D">
      <w:pPr>
        <w:widowControl w:val="0"/>
        <w:suppressAutoHyphens/>
        <w:autoSpaceDE w:val="0"/>
        <w:autoSpaceDN w:val="0"/>
        <w:adjustRightInd w:val="0"/>
        <w:spacing w:after="0" w:line="300" w:lineRule="atLeast"/>
        <w:textAlignment w:val="center"/>
        <w:rPr>
          <w:rFonts w:ascii="MBembo" w:hAnsi="MBembo" w:cs="MBembo"/>
          <w:color w:val="000000"/>
          <w:sz w:val="22"/>
          <w:szCs w:val="22"/>
          <w:lang w:val="en-GB"/>
        </w:rPr>
      </w:pPr>
      <w:r>
        <w:rPr>
          <w:rFonts w:ascii="MBembo" w:hAnsi="MBembo" w:cs="MBembo"/>
          <w:noProof/>
          <w:color w:val="000000"/>
          <w:sz w:val="22"/>
          <w:szCs w:val="22"/>
          <w:lang w:eastAsia="en-AU"/>
        </w:rPr>
        <w:drawing>
          <wp:inline distT="0" distB="0" distL="0" distR="0">
            <wp:extent cx="4226668" cy="3312000"/>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6668" cy="3312000"/>
                    </a:xfrm>
                    <a:prstGeom prst="rect">
                      <a:avLst/>
                    </a:prstGeom>
                  </pic:spPr>
                </pic:pic>
              </a:graphicData>
            </a:graphic>
          </wp:inline>
        </w:drawing>
      </w:r>
    </w:p>
    <w:p w:rsidR="0011425D" w:rsidRDefault="0011425D" w:rsidP="0011425D">
      <w:pPr>
        <w:widowControl w:val="0"/>
        <w:suppressAutoHyphens/>
        <w:autoSpaceDE w:val="0"/>
        <w:autoSpaceDN w:val="0"/>
        <w:adjustRightInd w:val="0"/>
        <w:spacing w:after="0" w:line="300" w:lineRule="atLeast"/>
        <w:textAlignment w:val="center"/>
        <w:rPr>
          <w:rFonts w:ascii="Trebuchet MS" w:eastAsia="Times New Roman" w:hAnsi="Trebuchet MS" w:cs="Times New Roman"/>
          <w:b/>
          <w:bCs/>
          <w:i/>
          <w:iCs/>
          <w:color w:val="000000"/>
          <w:sz w:val="17"/>
          <w:lang w:eastAsia="en-AU"/>
        </w:rPr>
      </w:pPr>
    </w:p>
    <w:p w:rsidR="0011425D" w:rsidRPr="001C0BC3" w:rsidRDefault="0011425D" w:rsidP="0011425D">
      <w:pPr>
        <w:widowControl w:val="0"/>
        <w:suppressAutoHyphens/>
        <w:autoSpaceDE w:val="0"/>
        <w:autoSpaceDN w:val="0"/>
        <w:adjustRightInd w:val="0"/>
        <w:spacing w:after="0" w:line="300" w:lineRule="atLeast"/>
        <w:textAlignment w:val="center"/>
        <w:rPr>
          <w:rFonts w:ascii="Trebuchet MS" w:eastAsia="Times New Roman" w:hAnsi="Trebuchet MS" w:cs="Times New Roman"/>
          <w:bCs/>
          <w:i/>
          <w:iCs/>
          <w:color w:val="000000"/>
          <w:sz w:val="17"/>
          <w:lang w:eastAsia="en-AU"/>
        </w:rPr>
      </w:pPr>
      <w:r w:rsidRPr="001C0BC3">
        <w:rPr>
          <w:rFonts w:ascii="Trebuchet MS" w:eastAsia="Times New Roman" w:hAnsi="Trebuchet MS" w:cs="Times New Roman"/>
          <w:b/>
          <w:bCs/>
          <w:i/>
          <w:iCs/>
          <w:color w:val="000000"/>
          <w:sz w:val="17"/>
          <w:lang w:eastAsia="en-AU"/>
        </w:rPr>
        <w:t>(b)</w:t>
      </w:r>
      <w:r w:rsidRPr="001C0BC3">
        <w:rPr>
          <w:rFonts w:ascii="Trebuchet MS" w:eastAsia="Times New Roman" w:hAnsi="Trebuchet MS" w:cs="Times New Roman"/>
          <w:bCs/>
          <w:i/>
          <w:iCs/>
          <w:color w:val="000000"/>
          <w:sz w:val="17"/>
          <w:lang w:eastAsia="en-AU"/>
        </w:rPr>
        <w:t xml:space="preserve"> Proposed </w:t>
      </w:r>
      <w:r w:rsidR="00981031">
        <w:rPr>
          <w:rFonts w:ascii="Trebuchet MS" w:eastAsia="Times New Roman" w:hAnsi="Trebuchet MS" w:cs="Times New Roman"/>
          <w:bCs/>
          <w:i/>
          <w:iCs/>
          <w:color w:val="000000"/>
          <w:sz w:val="17"/>
          <w:lang w:eastAsia="en-AU"/>
        </w:rPr>
        <w:t xml:space="preserve">Urban Release Area - </w:t>
      </w:r>
      <w:r>
        <w:rPr>
          <w:rFonts w:ascii="Trebuchet MS" w:eastAsia="Times New Roman" w:hAnsi="Trebuchet MS" w:cs="Times New Roman"/>
          <w:bCs/>
          <w:i/>
          <w:iCs/>
          <w:color w:val="000000"/>
          <w:sz w:val="17"/>
          <w:lang w:eastAsia="en-AU"/>
        </w:rPr>
        <w:t>Denman</w:t>
      </w:r>
    </w:p>
    <w:p w:rsidR="0011425D" w:rsidRDefault="0011425D" w:rsidP="0011425D">
      <w:pPr>
        <w:spacing w:before="240" w:after="240" w:line="280" w:lineRule="exact"/>
        <w:contextualSpacing/>
        <w:jc w:val="both"/>
        <w:rPr>
          <w:rFonts w:ascii="MBembo" w:hAnsi="MBembo" w:cs="MBembo"/>
          <w:color w:val="000000"/>
          <w:sz w:val="22"/>
          <w:szCs w:val="22"/>
          <w:lang w:val="en-GB"/>
        </w:rPr>
      </w:pPr>
    </w:p>
    <w:p w:rsidR="009757DA" w:rsidRPr="005941A9" w:rsidRDefault="00981031" w:rsidP="0011425D">
      <w:pPr>
        <w:widowControl w:val="0"/>
        <w:tabs>
          <w:tab w:val="left" w:pos="992"/>
        </w:tabs>
        <w:suppressAutoHyphens/>
        <w:autoSpaceDE w:val="0"/>
        <w:autoSpaceDN w:val="0"/>
        <w:adjustRightInd w:val="0"/>
        <w:spacing w:before="340" w:after="113" w:line="360" w:lineRule="atLeast"/>
        <w:textAlignment w:val="center"/>
        <w:rPr>
          <w:rFonts w:ascii="Trebuchet MS" w:eastAsia="Times New Roman" w:hAnsi="Trebuchet MS" w:cs="Arial"/>
          <w:b/>
          <w:lang w:eastAsia="en-AU"/>
        </w:rPr>
      </w:pPr>
      <w:r>
        <w:rPr>
          <w:rFonts w:ascii="Trebuchet MS" w:eastAsia="Times New Roman" w:hAnsi="Trebuchet MS" w:cs="Arial"/>
          <w:b/>
          <w:noProof/>
          <w:lang w:eastAsia="en-AU"/>
        </w:rPr>
        <w:drawing>
          <wp:inline distT="0" distB="0" distL="0" distR="0">
            <wp:extent cx="4226667" cy="3312000"/>
            <wp:effectExtent l="0" t="0" r="254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a.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6667" cy="3312000"/>
                    </a:xfrm>
                    <a:prstGeom prst="rect">
                      <a:avLst/>
                    </a:prstGeom>
                  </pic:spPr>
                </pic:pic>
              </a:graphicData>
            </a:graphic>
          </wp:inline>
        </w:drawing>
      </w:r>
      <w:r w:rsidR="00E7756B">
        <w:rPr>
          <w:rFonts w:ascii="Trebuchet MS" w:eastAsia="Times New Roman" w:hAnsi="Trebuchet MS" w:cs="Arial"/>
          <w:b/>
          <w:lang w:eastAsia="en-AU"/>
        </w:rPr>
        <w:br w:type="page"/>
      </w:r>
      <w:r w:rsidR="000E275D" w:rsidRPr="005941A9">
        <w:rPr>
          <w:rFonts w:ascii="Trebuchet MS" w:eastAsia="Times New Roman" w:hAnsi="Trebuchet MS" w:cs="Arial"/>
          <w:b/>
          <w:lang w:eastAsia="en-AU"/>
        </w:rPr>
        <w:lastRenderedPageBreak/>
        <w:t>3.5</w:t>
      </w:r>
      <w:r w:rsidR="000E275D" w:rsidRPr="005941A9">
        <w:rPr>
          <w:rFonts w:ascii="Trebuchet MS" w:eastAsia="Times New Roman" w:hAnsi="Trebuchet MS" w:cs="Arial"/>
          <w:b/>
          <w:lang w:eastAsia="en-AU"/>
        </w:rPr>
        <w:tab/>
      </w:r>
      <w:r w:rsidR="009757DA" w:rsidRPr="005941A9">
        <w:rPr>
          <w:rFonts w:ascii="Trebuchet MS" w:eastAsia="Times New Roman" w:hAnsi="Trebuchet MS" w:cs="Arial"/>
          <w:b/>
          <w:lang w:eastAsia="en-AU"/>
        </w:rPr>
        <w:t>Commu</w:t>
      </w:r>
      <w:bookmarkStart w:id="12" w:name="Com_consultation"/>
      <w:bookmarkEnd w:id="12"/>
      <w:r w:rsidR="009757DA" w:rsidRPr="005941A9">
        <w:rPr>
          <w:rFonts w:ascii="Trebuchet MS" w:eastAsia="Times New Roman" w:hAnsi="Trebuchet MS" w:cs="Arial"/>
          <w:b/>
          <w:lang w:eastAsia="en-AU"/>
        </w:rPr>
        <w:t>nity Consultation</w:t>
      </w:r>
    </w:p>
    <w:p w:rsidR="00DD13B3" w:rsidRDefault="00D80C09" w:rsidP="009420FB">
      <w:pPr>
        <w:spacing w:before="240" w:after="240"/>
        <w:contextualSpacing/>
        <w:jc w:val="both"/>
        <w:rPr>
          <w:rFonts w:asciiTheme="majorHAnsi" w:eastAsia="Times New Roman" w:hAnsiTheme="majorHAnsi" w:cs="Times New Roman"/>
          <w:color w:val="000000"/>
          <w:sz w:val="22"/>
          <w:szCs w:val="22"/>
          <w:lang w:eastAsia="en-AU"/>
        </w:rPr>
      </w:pPr>
      <w:r w:rsidRPr="009420FB">
        <w:rPr>
          <w:rFonts w:asciiTheme="majorHAnsi" w:eastAsia="Times New Roman" w:hAnsiTheme="majorHAnsi" w:cs="Times New Roman"/>
          <w:color w:val="000000"/>
          <w:sz w:val="22"/>
          <w:szCs w:val="22"/>
          <w:lang w:eastAsia="en-AU"/>
        </w:rPr>
        <w:t xml:space="preserve">The Gateway Determination </w:t>
      </w:r>
      <w:r w:rsidR="00DD13B3">
        <w:rPr>
          <w:rFonts w:asciiTheme="majorHAnsi" w:eastAsia="Times New Roman" w:hAnsiTheme="majorHAnsi" w:cs="Times New Roman"/>
          <w:color w:val="000000"/>
          <w:sz w:val="22"/>
          <w:szCs w:val="22"/>
          <w:lang w:eastAsia="en-AU"/>
        </w:rPr>
        <w:t xml:space="preserve">dated 21 October 2014 specified that the Planning Proposal must be publically exhibited for a minimum 28 days and </w:t>
      </w:r>
      <w:r w:rsidR="00DD13B3" w:rsidRPr="00DD13B3">
        <w:rPr>
          <w:rFonts w:asciiTheme="majorHAnsi" w:eastAsia="Times New Roman" w:hAnsiTheme="majorHAnsi" w:cs="Times New Roman"/>
          <w:color w:val="000000"/>
          <w:sz w:val="22"/>
          <w:szCs w:val="22"/>
          <w:lang w:eastAsia="en-AU"/>
        </w:rPr>
        <w:t>must comply with the section 5.5.2 of ‘</w:t>
      </w:r>
      <w:r w:rsidR="00DD13B3" w:rsidRPr="00DD13B3">
        <w:rPr>
          <w:rFonts w:asciiTheme="majorHAnsi" w:eastAsia="Times New Roman" w:hAnsiTheme="majorHAnsi" w:cs="Times New Roman"/>
          <w:i/>
          <w:color w:val="000000"/>
          <w:sz w:val="22"/>
          <w:szCs w:val="22"/>
          <w:lang w:eastAsia="en-AU"/>
        </w:rPr>
        <w:t>A Guide to Preparing Local Environmental Plans</w:t>
      </w:r>
      <w:r w:rsidR="00DD13B3" w:rsidRPr="00DD13B3">
        <w:rPr>
          <w:rFonts w:asciiTheme="majorHAnsi" w:eastAsia="Times New Roman" w:hAnsiTheme="majorHAnsi" w:cs="Times New Roman"/>
          <w:color w:val="000000"/>
          <w:sz w:val="22"/>
          <w:szCs w:val="22"/>
          <w:lang w:eastAsia="en-AU"/>
        </w:rPr>
        <w:t xml:space="preserve">’ (Department of Planning and </w:t>
      </w:r>
      <w:r w:rsidR="00DD13B3">
        <w:rPr>
          <w:rFonts w:asciiTheme="majorHAnsi" w:eastAsia="Times New Roman" w:hAnsiTheme="majorHAnsi" w:cs="Times New Roman"/>
          <w:color w:val="000000"/>
          <w:sz w:val="22"/>
          <w:szCs w:val="22"/>
          <w:lang w:eastAsia="en-AU"/>
        </w:rPr>
        <w:t xml:space="preserve">Environment </w:t>
      </w:r>
      <w:r w:rsidR="00DD13B3" w:rsidRPr="00DD13B3">
        <w:rPr>
          <w:rFonts w:asciiTheme="majorHAnsi" w:eastAsia="Times New Roman" w:hAnsiTheme="majorHAnsi" w:cs="Times New Roman"/>
          <w:color w:val="000000"/>
          <w:sz w:val="22"/>
          <w:szCs w:val="22"/>
          <w:lang w:eastAsia="en-AU"/>
        </w:rPr>
        <w:t>2013).</w:t>
      </w:r>
    </w:p>
    <w:p w:rsidR="00D80C09" w:rsidRDefault="00D80C09" w:rsidP="009420FB">
      <w:pPr>
        <w:spacing w:before="240" w:after="240"/>
        <w:contextualSpacing/>
        <w:jc w:val="both"/>
        <w:rPr>
          <w:rFonts w:asciiTheme="majorHAnsi" w:eastAsia="Times New Roman" w:hAnsiTheme="majorHAnsi" w:cs="Times New Roman"/>
          <w:color w:val="000000"/>
          <w:sz w:val="22"/>
          <w:szCs w:val="22"/>
          <w:lang w:eastAsia="en-AU"/>
        </w:rPr>
      </w:pPr>
    </w:p>
    <w:p w:rsidR="00DD13B3" w:rsidRDefault="00DD13B3" w:rsidP="009420FB">
      <w:pPr>
        <w:spacing w:before="240" w:after="240"/>
        <w:contextualSpacing/>
        <w:jc w:val="both"/>
        <w:rPr>
          <w:rFonts w:asciiTheme="majorHAnsi" w:eastAsia="Times New Roman" w:hAnsiTheme="majorHAnsi" w:cs="Times New Roman"/>
          <w:color w:val="000000"/>
          <w:sz w:val="22"/>
          <w:szCs w:val="22"/>
          <w:lang w:eastAsia="en-AU"/>
        </w:rPr>
      </w:pPr>
      <w:r w:rsidRPr="00DD13B3">
        <w:rPr>
          <w:rFonts w:asciiTheme="majorHAnsi" w:eastAsia="Times New Roman" w:hAnsiTheme="majorHAnsi" w:cs="Times New Roman"/>
          <w:color w:val="000000"/>
          <w:sz w:val="22"/>
          <w:szCs w:val="22"/>
          <w:lang w:eastAsia="en-AU"/>
        </w:rPr>
        <w:t>The Planning Proposal was placed on public exhibition from 17 July 2015 to 17 August 2015. Public notices were placed in the local newspapers</w:t>
      </w:r>
      <w:r>
        <w:rPr>
          <w:rFonts w:asciiTheme="majorHAnsi" w:eastAsia="Times New Roman" w:hAnsiTheme="majorHAnsi" w:cs="Times New Roman"/>
          <w:color w:val="000000"/>
          <w:sz w:val="22"/>
          <w:szCs w:val="22"/>
          <w:lang w:eastAsia="en-AU"/>
        </w:rPr>
        <w:t xml:space="preserve"> (</w:t>
      </w:r>
      <w:r w:rsidRPr="00DD13B3">
        <w:rPr>
          <w:rFonts w:asciiTheme="majorHAnsi" w:eastAsia="Times New Roman" w:hAnsiTheme="majorHAnsi" w:cs="Times New Roman"/>
          <w:color w:val="000000"/>
          <w:sz w:val="22"/>
          <w:szCs w:val="22"/>
          <w:lang w:eastAsia="en-AU"/>
        </w:rPr>
        <w:t>Muswellbrook Chronicle</w:t>
      </w:r>
      <w:r>
        <w:rPr>
          <w:rFonts w:asciiTheme="majorHAnsi" w:eastAsia="Times New Roman" w:hAnsiTheme="majorHAnsi" w:cs="Times New Roman"/>
          <w:color w:val="000000"/>
          <w:sz w:val="22"/>
          <w:szCs w:val="22"/>
          <w:lang w:eastAsia="en-AU"/>
        </w:rPr>
        <w:t>, Hunter Valley News and Denman News)</w:t>
      </w:r>
      <w:r w:rsidRPr="00DD13B3">
        <w:rPr>
          <w:rFonts w:asciiTheme="majorHAnsi" w:eastAsia="Times New Roman" w:hAnsiTheme="majorHAnsi" w:cs="Times New Roman"/>
          <w:color w:val="000000"/>
          <w:sz w:val="22"/>
          <w:szCs w:val="22"/>
          <w:lang w:eastAsia="en-AU"/>
        </w:rPr>
        <w:t xml:space="preserve"> and on Council’s website. The Planning Proposal and supporting documents were available for available for inspection at Council’s Administration Centre and Muswellbrook and Denman libraries. Relevant public authorities and adjoining properties were notified directly.</w:t>
      </w:r>
    </w:p>
    <w:p w:rsidR="00DD13B3" w:rsidRDefault="00DD13B3" w:rsidP="009420FB">
      <w:pPr>
        <w:spacing w:before="240" w:after="240"/>
        <w:contextualSpacing/>
        <w:jc w:val="both"/>
        <w:rPr>
          <w:rFonts w:asciiTheme="majorHAnsi" w:eastAsia="Times New Roman" w:hAnsiTheme="majorHAnsi" w:cs="Times New Roman"/>
          <w:color w:val="000000"/>
          <w:sz w:val="22"/>
          <w:szCs w:val="22"/>
          <w:lang w:eastAsia="en-AU"/>
        </w:rPr>
      </w:pPr>
    </w:p>
    <w:p w:rsidR="00B4070E" w:rsidRDefault="00DD13B3" w:rsidP="00B4070E">
      <w:pPr>
        <w:spacing w:before="240" w:after="240"/>
        <w:contextualSpacing/>
        <w:jc w:val="both"/>
        <w:rPr>
          <w:rFonts w:asciiTheme="majorHAnsi" w:eastAsia="Times New Roman" w:hAnsiTheme="majorHAnsi" w:cs="Times New Roman"/>
          <w:color w:val="000000"/>
          <w:sz w:val="22"/>
          <w:szCs w:val="22"/>
          <w:lang w:eastAsia="en-AU"/>
        </w:rPr>
      </w:pPr>
      <w:r w:rsidRPr="00DD13B3">
        <w:rPr>
          <w:rFonts w:asciiTheme="majorHAnsi" w:eastAsia="Times New Roman" w:hAnsiTheme="majorHAnsi" w:cs="Times New Roman"/>
          <w:color w:val="000000"/>
          <w:sz w:val="22"/>
          <w:szCs w:val="22"/>
          <w:lang w:eastAsia="en-AU"/>
        </w:rPr>
        <w:t>During the public exhibition period Council received a total of four (4) submissions comprising</w:t>
      </w:r>
      <w:r w:rsidR="00152922">
        <w:rPr>
          <w:rFonts w:asciiTheme="majorHAnsi" w:eastAsia="Times New Roman" w:hAnsiTheme="majorHAnsi" w:cs="Times New Roman"/>
          <w:color w:val="000000"/>
          <w:sz w:val="22"/>
          <w:szCs w:val="22"/>
          <w:lang w:eastAsia="en-AU"/>
        </w:rPr>
        <w:t xml:space="preserve"> </w:t>
      </w:r>
      <w:r w:rsidRPr="00DD13B3">
        <w:rPr>
          <w:rFonts w:asciiTheme="majorHAnsi" w:eastAsia="Times New Roman" w:hAnsiTheme="majorHAnsi" w:cs="Times New Roman"/>
          <w:color w:val="000000"/>
          <w:sz w:val="22"/>
          <w:szCs w:val="22"/>
          <w:lang w:eastAsia="en-AU"/>
        </w:rPr>
        <w:t>NSW Office of Environment &amp; Heritage</w:t>
      </w:r>
      <w:r w:rsidR="00152922">
        <w:rPr>
          <w:rFonts w:asciiTheme="majorHAnsi" w:eastAsia="Times New Roman" w:hAnsiTheme="majorHAnsi" w:cs="Times New Roman"/>
          <w:color w:val="000000"/>
          <w:sz w:val="22"/>
          <w:szCs w:val="22"/>
          <w:lang w:eastAsia="en-AU"/>
        </w:rPr>
        <w:t xml:space="preserve">, </w:t>
      </w:r>
      <w:r w:rsidRPr="00DD13B3">
        <w:rPr>
          <w:rFonts w:asciiTheme="majorHAnsi" w:eastAsia="Times New Roman" w:hAnsiTheme="majorHAnsi" w:cs="Times New Roman"/>
          <w:color w:val="000000"/>
          <w:sz w:val="22"/>
          <w:szCs w:val="22"/>
          <w:lang w:eastAsia="en-AU"/>
        </w:rPr>
        <w:t>NSW Department of Primary Industries – Lands</w:t>
      </w:r>
      <w:r w:rsidR="00152922">
        <w:rPr>
          <w:rFonts w:asciiTheme="majorHAnsi" w:eastAsia="Times New Roman" w:hAnsiTheme="majorHAnsi" w:cs="Times New Roman"/>
          <w:color w:val="000000"/>
          <w:sz w:val="22"/>
          <w:szCs w:val="22"/>
          <w:lang w:eastAsia="en-AU"/>
        </w:rPr>
        <w:t>, W</w:t>
      </w:r>
      <w:r w:rsidRPr="00DD13B3">
        <w:rPr>
          <w:rFonts w:asciiTheme="majorHAnsi" w:eastAsia="Times New Roman" w:hAnsiTheme="majorHAnsi" w:cs="Times New Roman"/>
          <w:color w:val="000000"/>
          <w:sz w:val="22"/>
          <w:szCs w:val="22"/>
          <w:lang w:eastAsia="en-AU"/>
        </w:rPr>
        <w:t xml:space="preserve">anaruah </w:t>
      </w:r>
      <w:r w:rsidR="00152922">
        <w:rPr>
          <w:rFonts w:asciiTheme="majorHAnsi" w:eastAsia="Times New Roman" w:hAnsiTheme="majorHAnsi" w:cs="Times New Roman"/>
          <w:color w:val="000000"/>
          <w:sz w:val="22"/>
          <w:szCs w:val="22"/>
          <w:lang w:eastAsia="en-AU"/>
        </w:rPr>
        <w:t>Local Aboriginal Land Council and o</w:t>
      </w:r>
      <w:r w:rsidRPr="00DD13B3">
        <w:rPr>
          <w:rFonts w:asciiTheme="majorHAnsi" w:eastAsia="Times New Roman" w:hAnsiTheme="majorHAnsi" w:cs="Times New Roman"/>
          <w:color w:val="000000"/>
          <w:sz w:val="22"/>
          <w:szCs w:val="22"/>
          <w:lang w:eastAsia="en-AU"/>
        </w:rPr>
        <w:t>ne public submission</w:t>
      </w:r>
      <w:r w:rsidR="00152922">
        <w:rPr>
          <w:rFonts w:asciiTheme="majorHAnsi" w:eastAsia="Times New Roman" w:hAnsiTheme="majorHAnsi" w:cs="Times New Roman"/>
          <w:color w:val="000000"/>
          <w:sz w:val="22"/>
          <w:szCs w:val="22"/>
          <w:lang w:eastAsia="en-AU"/>
        </w:rPr>
        <w:t xml:space="preserve">. (Submissions received from the OEH, DPI and WLALC are summarised and addressed in the Section 3.3.4). </w:t>
      </w:r>
      <w:r w:rsidR="00152922" w:rsidRPr="00152922">
        <w:rPr>
          <w:rFonts w:asciiTheme="majorHAnsi" w:eastAsia="Times New Roman" w:hAnsiTheme="majorHAnsi" w:cs="Times New Roman"/>
          <w:color w:val="000000"/>
          <w:sz w:val="22"/>
          <w:szCs w:val="22"/>
          <w:lang w:eastAsia="en-AU"/>
        </w:rPr>
        <w:t>It is considered that water supply and traffic related issues raised in the</w:t>
      </w:r>
      <w:r w:rsidR="00B4070E">
        <w:rPr>
          <w:rFonts w:asciiTheme="majorHAnsi" w:eastAsia="Times New Roman" w:hAnsiTheme="majorHAnsi" w:cs="Times New Roman"/>
          <w:color w:val="000000"/>
          <w:sz w:val="22"/>
          <w:szCs w:val="22"/>
          <w:lang w:eastAsia="en-AU"/>
        </w:rPr>
        <w:t xml:space="preserve"> public </w:t>
      </w:r>
      <w:r w:rsidR="00152922" w:rsidRPr="00152922">
        <w:rPr>
          <w:rFonts w:asciiTheme="majorHAnsi" w:eastAsia="Times New Roman" w:hAnsiTheme="majorHAnsi" w:cs="Times New Roman"/>
          <w:color w:val="000000"/>
          <w:sz w:val="22"/>
          <w:szCs w:val="22"/>
          <w:lang w:eastAsia="en-AU"/>
        </w:rPr>
        <w:t>submission are matters that will be considered and addressed at the subdivision stage.</w:t>
      </w:r>
      <w:r w:rsidR="00B4070E">
        <w:rPr>
          <w:rFonts w:asciiTheme="majorHAnsi" w:eastAsia="Times New Roman" w:hAnsiTheme="majorHAnsi" w:cs="Times New Roman"/>
          <w:color w:val="000000"/>
          <w:sz w:val="22"/>
          <w:szCs w:val="22"/>
          <w:lang w:eastAsia="en-AU"/>
        </w:rPr>
        <w:t xml:space="preserve">  </w:t>
      </w:r>
    </w:p>
    <w:p w:rsidR="00B4070E" w:rsidRDefault="00B4070E" w:rsidP="00B4070E">
      <w:pPr>
        <w:spacing w:before="240" w:after="240"/>
        <w:contextualSpacing/>
        <w:jc w:val="both"/>
        <w:rPr>
          <w:rFonts w:asciiTheme="majorHAnsi" w:eastAsia="Times New Roman" w:hAnsiTheme="majorHAnsi" w:cs="Times New Roman"/>
          <w:color w:val="000000"/>
          <w:sz w:val="22"/>
          <w:szCs w:val="22"/>
          <w:lang w:eastAsia="en-AU"/>
        </w:rPr>
      </w:pPr>
    </w:p>
    <w:p w:rsidR="00152922" w:rsidRPr="009420FB" w:rsidRDefault="00B4070E" w:rsidP="00B4070E">
      <w:pPr>
        <w:spacing w:before="240" w:after="240"/>
        <w:jc w:val="both"/>
        <w:rPr>
          <w:rFonts w:asciiTheme="majorHAnsi" w:eastAsia="Times New Roman" w:hAnsiTheme="majorHAnsi" w:cs="Times New Roman"/>
          <w:color w:val="000000"/>
          <w:sz w:val="22"/>
          <w:szCs w:val="22"/>
          <w:lang w:eastAsia="en-AU"/>
        </w:rPr>
      </w:pPr>
      <w:r>
        <w:rPr>
          <w:rFonts w:asciiTheme="majorHAnsi" w:eastAsia="Times New Roman" w:hAnsiTheme="majorHAnsi" w:cs="Times New Roman"/>
          <w:color w:val="000000"/>
          <w:sz w:val="22"/>
          <w:szCs w:val="22"/>
          <w:lang w:eastAsia="en-AU"/>
        </w:rPr>
        <w:t>In general, t</w:t>
      </w:r>
      <w:r w:rsidR="00152922" w:rsidRPr="00152922">
        <w:rPr>
          <w:rFonts w:asciiTheme="majorHAnsi" w:eastAsia="Times New Roman" w:hAnsiTheme="majorHAnsi" w:cs="Times New Roman"/>
          <w:color w:val="000000"/>
          <w:sz w:val="22"/>
          <w:szCs w:val="22"/>
          <w:lang w:eastAsia="en-AU"/>
        </w:rPr>
        <w:t>he majority of the planning, design and engineering issues raised in the submissions including traffic, water supply, land use buffers, heritage are matters that may be addressed in the subdivision stage.</w:t>
      </w:r>
      <w:r w:rsidR="00152922">
        <w:rPr>
          <w:rFonts w:asciiTheme="majorHAnsi" w:eastAsia="Times New Roman" w:hAnsiTheme="majorHAnsi" w:cs="Times New Roman"/>
          <w:color w:val="000000"/>
          <w:sz w:val="22"/>
          <w:szCs w:val="22"/>
          <w:lang w:eastAsia="en-AU"/>
        </w:rPr>
        <w:t xml:space="preserve"> </w:t>
      </w:r>
    </w:p>
    <w:p w:rsidR="00BC77B3" w:rsidRPr="00490DE9" w:rsidRDefault="008222F2" w:rsidP="0090416C">
      <w:pPr>
        <w:widowControl w:val="0"/>
        <w:tabs>
          <w:tab w:val="left" w:pos="992"/>
        </w:tabs>
        <w:suppressAutoHyphens/>
        <w:autoSpaceDE w:val="0"/>
        <w:autoSpaceDN w:val="0"/>
        <w:adjustRightInd w:val="0"/>
        <w:spacing w:before="480" w:after="113"/>
        <w:textAlignment w:val="center"/>
        <w:rPr>
          <w:rFonts w:ascii="Trebuchet MS" w:eastAsia="Times New Roman" w:hAnsi="Trebuchet MS" w:cs="Arial"/>
          <w:b/>
          <w:lang w:eastAsia="en-AU"/>
        </w:rPr>
      </w:pPr>
      <w:r w:rsidRPr="005941A9">
        <w:rPr>
          <w:rFonts w:ascii="Trebuchet MS" w:eastAsia="Times New Roman" w:hAnsi="Trebuchet MS" w:cs="Arial"/>
          <w:b/>
          <w:lang w:eastAsia="en-AU"/>
        </w:rPr>
        <w:t>3.6</w:t>
      </w:r>
      <w:r w:rsidRPr="005941A9">
        <w:rPr>
          <w:rFonts w:ascii="Trebuchet MS" w:eastAsia="Times New Roman" w:hAnsi="Trebuchet MS" w:cs="Arial"/>
          <w:b/>
          <w:lang w:eastAsia="en-AU"/>
        </w:rPr>
        <w:tab/>
        <w:t>P</w:t>
      </w:r>
      <w:r w:rsidR="005941A9">
        <w:rPr>
          <w:rFonts w:ascii="Trebuchet MS" w:eastAsia="Times New Roman" w:hAnsi="Trebuchet MS" w:cs="Arial"/>
          <w:b/>
          <w:lang w:eastAsia="en-AU"/>
        </w:rPr>
        <w:t>r</w:t>
      </w:r>
      <w:r w:rsidRPr="005941A9">
        <w:rPr>
          <w:rFonts w:ascii="Trebuchet MS" w:eastAsia="Times New Roman" w:hAnsi="Trebuchet MS" w:cs="Arial"/>
          <w:b/>
          <w:lang w:eastAsia="en-AU"/>
        </w:rPr>
        <w:t>oject</w:t>
      </w:r>
      <w:bookmarkStart w:id="13" w:name="timeline"/>
      <w:bookmarkEnd w:id="13"/>
      <w:r w:rsidR="00490DE9">
        <w:rPr>
          <w:rFonts w:ascii="Trebuchet MS" w:eastAsia="Times New Roman" w:hAnsi="Trebuchet MS" w:cs="Arial"/>
          <w:b/>
          <w:lang w:eastAsia="en-AU"/>
        </w:rPr>
        <w:t xml:space="preserve"> Timeline</w:t>
      </w:r>
    </w:p>
    <w:tbl>
      <w:tblPr>
        <w:tblpPr w:leftFromText="180" w:rightFromText="180" w:vertAnchor="text" w:horzAnchor="margin" w:tblpY="3"/>
        <w:tblW w:w="875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675"/>
        <w:gridCol w:w="435"/>
        <w:gridCol w:w="435"/>
        <w:gridCol w:w="435"/>
        <w:gridCol w:w="435"/>
        <w:gridCol w:w="434"/>
        <w:gridCol w:w="434"/>
        <w:gridCol w:w="434"/>
        <w:gridCol w:w="434"/>
        <w:gridCol w:w="434"/>
        <w:gridCol w:w="434"/>
        <w:gridCol w:w="434"/>
        <w:gridCol w:w="434"/>
        <w:gridCol w:w="434"/>
        <w:gridCol w:w="434"/>
      </w:tblGrid>
      <w:tr w:rsidR="00B4070E" w:rsidRPr="009420FB" w:rsidTr="00B4070E">
        <w:trPr>
          <w:trHeight w:val="276"/>
        </w:trPr>
        <w:tc>
          <w:tcPr>
            <w:tcW w:w="2093" w:type="dxa"/>
            <w:vMerge w:val="restart"/>
            <w:shd w:val="clear" w:color="auto" w:fill="D9D9D9" w:themeFill="background1" w:themeFillShade="D9"/>
            <w:vAlign w:val="center"/>
          </w:tcPr>
          <w:p w:rsidR="00B4070E" w:rsidRPr="009420FB" w:rsidRDefault="00B4070E" w:rsidP="00603B1E">
            <w:pPr>
              <w:spacing w:before="160" w:after="80"/>
              <w:jc w:val="center"/>
              <w:rPr>
                <w:rFonts w:asciiTheme="majorHAnsi" w:hAnsiTheme="majorHAnsi"/>
                <w:b/>
                <w:caps/>
                <w:sz w:val="16"/>
                <w:szCs w:val="16"/>
              </w:rPr>
            </w:pPr>
            <w:r w:rsidRPr="009420FB">
              <w:rPr>
                <w:rFonts w:asciiTheme="majorHAnsi" w:hAnsiTheme="majorHAnsi"/>
                <w:b/>
                <w:caps/>
                <w:sz w:val="16"/>
                <w:szCs w:val="16"/>
              </w:rPr>
              <w:t>Task</w:t>
            </w:r>
          </w:p>
        </w:tc>
        <w:tc>
          <w:tcPr>
            <w:tcW w:w="340" w:type="dxa"/>
            <w:gridSpan w:val="14"/>
            <w:shd w:val="clear" w:color="auto" w:fill="D9D9D9" w:themeFill="background1" w:themeFillShade="D9"/>
          </w:tcPr>
          <w:p w:rsidR="00B4070E" w:rsidRPr="009420FB" w:rsidRDefault="00B4070E" w:rsidP="009420FB">
            <w:pPr>
              <w:spacing w:before="160" w:after="80"/>
              <w:jc w:val="center"/>
              <w:rPr>
                <w:rFonts w:asciiTheme="majorHAnsi" w:hAnsiTheme="majorHAnsi"/>
                <w:b/>
                <w:caps/>
                <w:sz w:val="16"/>
                <w:szCs w:val="16"/>
              </w:rPr>
            </w:pPr>
            <w:r w:rsidRPr="009420FB">
              <w:rPr>
                <w:rFonts w:asciiTheme="majorHAnsi" w:hAnsiTheme="majorHAnsi"/>
                <w:b/>
                <w:caps/>
                <w:sz w:val="16"/>
                <w:szCs w:val="16"/>
              </w:rPr>
              <w:t>Proposed timeframe</w:t>
            </w:r>
          </w:p>
        </w:tc>
      </w:tr>
      <w:tr w:rsidR="00B4070E" w:rsidRPr="009420FB" w:rsidTr="00B4070E">
        <w:trPr>
          <w:trHeight w:val="264"/>
        </w:trPr>
        <w:tc>
          <w:tcPr>
            <w:tcW w:w="2093" w:type="dxa"/>
            <w:vMerge/>
            <w:shd w:val="clear" w:color="auto" w:fill="auto"/>
            <w:vAlign w:val="center"/>
          </w:tcPr>
          <w:p w:rsidR="00B4070E" w:rsidRPr="009420FB" w:rsidRDefault="00B4070E" w:rsidP="00B4070E">
            <w:pPr>
              <w:spacing w:after="0"/>
              <w:rPr>
                <w:rFonts w:asciiTheme="majorHAnsi" w:hAnsiTheme="majorHAnsi"/>
                <w:sz w:val="16"/>
                <w:szCs w:val="16"/>
              </w:rPr>
            </w:pP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Nov 2014</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Dec 2014</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Jan 2014</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Feb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Mar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Apr 2015</w:t>
            </w:r>
          </w:p>
        </w:tc>
        <w:tc>
          <w:tcPr>
            <w:tcW w:w="340" w:type="dxa"/>
            <w:shd w:val="clear" w:color="auto" w:fill="D9D9D9" w:themeFill="background1" w:themeFillShade="D9"/>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May 2015</w:t>
            </w:r>
          </w:p>
        </w:tc>
        <w:tc>
          <w:tcPr>
            <w:tcW w:w="340" w:type="dxa"/>
            <w:shd w:val="clear" w:color="auto" w:fill="D9D9D9" w:themeFill="background1" w:themeFillShade="D9"/>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Jun 2015</w:t>
            </w:r>
          </w:p>
        </w:tc>
        <w:tc>
          <w:tcPr>
            <w:tcW w:w="340" w:type="dxa"/>
            <w:shd w:val="clear" w:color="auto" w:fill="D9D9D9" w:themeFill="background1" w:themeFillShade="D9"/>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Jul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Aug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Sept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sidRPr="00B4070E">
              <w:rPr>
                <w:rFonts w:asciiTheme="majorHAnsi" w:hAnsiTheme="majorHAnsi"/>
                <w:b/>
                <w:sz w:val="10"/>
                <w:szCs w:val="16"/>
              </w:rPr>
              <w:t>Oct 2015</w:t>
            </w:r>
          </w:p>
        </w:tc>
        <w:tc>
          <w:tcPr>
            <w:tcW w:w="340" w:type="dxa"/>
            <w:shd w:val="clear" w:color="auto" w:fill="D9D9D9" w:themeFill="background1" w:themeFillShade="D9"/>
            <w:vAlign w:val="center"/>
          </w:tcPr>
          <w:p w:rsidR="00B4070E" w:rsidRPr="00B4070E" w:rsidRDefault="00B4070E" w:rsidP="00B4070E">
            <w:pPr>
              <w:spacing w:before="80" w:after="0"/>
              <w:jc w:val="center"/>
              <w:rPr>
                <w:rFonts w:asciiTheme="majorHAnsi" w:hAnsiTheme="majorHAnsi"/>
                <w:b/>
                <w:sz w:val="10"/>
                <w:szCs w:val="16"/>
              </w:rPr>
            </w:pPr>
            <w:r>
              <w:rPr>
                <w:rFonts w:asciiTheme="majorHAnsi" w:hAnsiTheme="majorHAnsi"/>
                <w:b/>
                <w:sz w:val="10"/>
                <w:szCs w:val="16"/>
              </w:rPr>
              <w:t xml:space="preserve">Nov </w:t>
            </w:r>
            <w:r w:rsidRPr="00B4070E">
              <w:rPr>
                <w:rFonts w:asciiTheme="majorHAnsi" w:hAnsiTheme="majorHAnsi"/>
                <w:b/>
                <w:sz w:val="10"/>
                <w:szCs w:val="16"/>
              </w:rPr>
              <w:t>2015</w:t>
            </w:r>
          </w:p>
        </w:tc>
        <w:tc>
          <w:tcPr>
            <w:tcW w:w="340" w:type="dxa"/>
            <w:shd w:val="clear" w:color="auto" w:fill="D9D9D9" w:themeFill="background1" w:themeFillShade="D9"/>
            <w:vAlign w:val="center"/>
          </w:tcPr>
          <w:p w:rsidR="00B4070E" w:rsidRPr="00B4070E" w:rsidRDefault="00B4070E" w:rsidP="00B4070E">
            <w:pPr>
              <w:spacing w:before="80" w:after="0"/>
              <w:jc w:val="center"/>
              <w:rPr>
                <w:sz w:val="10"/>
              </w:rPr>
            </w:pPr>
            <w:r>
              <w:rPr>
                <w:rFonts w:asciiTheme="majorHAnsi" w:hAnsiTheme="majorHAnsi"/>
                <w:b/>
                <w:sz w:val="10"/>
                <w:szCs w:val="16"/>
              </w:rPr>
              <w:t xml:space="preserve">Dec </w:t>
            </w:r>
            <w:r w:rsidRPr="00B4070E">
              <w:rPr>
                <w:rFonts w:asciiTheme="majorHAnsi" w:hAnsiTheme="majorHAnsi"/>
                <w:b/>
                <w:sz w:val="10"/>
                <w:szCs w:val="16"/>
              </w:rPr>
              <w:t>2015</w:t>
            </w:r>
          </w:p>
        </w:tc>
      </w:tr>
      <w:tr w:rsidR="00B4070E" w:rsidRPr="009420FB" w:rsidTr="0090416C">
        <w:trPr>
          <w:trHeight w:val="284"/>
        </w:trPr>
        <w:tc>
          <w:tcPr>
            <w:tcW w:w="2093" w:type="dxa"/>
            <w:vAlign w:val="center"/>
          </w:tcPr>
          <w:p w:rsidR="00B4070E" w:rsidRPr="009420FB" w:rsidRDefault="00B4070E" w:rsidP="0090416C">
            <w:pPr>
              <w:spacing w:after="0"/>
              <w:rPr>
                <w:rFonts w:asciiTheme="majorHAnsi" w:hAnsiTheme="majorHAnsi"/>
                <w:sz w:val="16"/>
                <w:szCs w:val="16"/>
              </w:rPr>
            </w:pPr>
            <w:r w:rsidRPr="009420FB">
              <w:rPr>
                <w:rFonts w:asciiTheme="majorHAnsi" w:hAnsiTheme="majorHAnsi"/>
                <w:sz w:val="16"/>
                <w:szCs w:val="16"/>
              </w:rPr>
              <w:t>Issue of Gateway Determination (GD)</w:t>
            </w:r>
          </w:p>
        </w:tc>
        <w:tc>
          <w:tcPr>
            <w:tcW w:w="340" w:type="dxa"/>
            <w:shd w:val="clear" w:color="auto" w:fill="BFBFBF" w:themeFill="background1" w:themeFillShade="BF"/>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90416C">
            <w:pPr>
              <w:spacing w:after="0"/>
              <w:rPr>
                <w:rFonts w:asciiTheme="majorHAnsi" w:hAnsiTheme="majorHAnsi"/>
                <w:sz w:val="16"/>
                <w:szCs w:val="16"/>
              </w:rPr>
            </w:pPr>
            <w:r w:rsidRPr="009420FB">
              <w:rPr>
                <w:rFonts w:asciiTheme="majorHAnsi" w:hAnsiTheme="majorHAnsi"/>
                <w:sz w:val="16"/>
                <w:szCs w:val="16"/>
              </w:rPr>
              <w:t>Report GD to Council</w:t>
            </w:r>
          </w:p>
        </w:tc>
        <w:tc>
          <w:tcPr>
            <w:tcW w:w="340" w:type="dxa"/>
            <w:shd w:val="clear" w:color="auto" w:fill="auto"/>
            <w:vAlign w:val="center"/>
          </w:tcPr>
          <w:p w:rsidR="00B4070E" w:rsidRPr="009420FB" w:rsidRDefault="00B4070E" w:rsidP="0090416C">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c>
          <w:tcPr>
            <w:tcW w:w="340" w:type="dxa"/>
            <w:vAlign w:val="center"/>
          </w:tcPr>
          <w:p w:rsidR="00B4070E" w:rsidRPr="009420FB" w:rsidRDefault="00B4070E" w:rsidP="0090416C">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9420FB">
            <w:pPr>
              <w:spacing w:after="0"/>
              <w:rPr>
                <w:rFonts w:asciiTheme="majorHAnsi" w:hAnsiTheme="majorHAnsi"/>
                <w:sz w:val="16"/>
                <w:szCs w:val="16"/>
              </w:rPr>
            </w:pPr>
            <w:r w:rsidRPr="009420FB">
              <w:rPr>
                <w:rFonts w:asciiTheme="majorHAnsi" w:hAnsiTheme="majorHAnsi"/>
                <w:sz w:val="16"/>
                <w:szCs w:val="16"/>
              </w:rPr>
              <w:t>Completion of required further investigations in accordance with the GD and in consultation with relevant public authorities</w:t>
            </w:r>
          </w:p>
        </w:tc>
        <w:tc>
          <w:tcPr>
            <w:tcW w:w="340" w:type="dxa"/>
            <w:shd w:val="clear" w:color="auto" w:fill="auto"/>
            <w:vAlign w:val="center"/>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9420FB">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9420FB">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9420FB">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9420FB">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9420FB">
            <w:pPr>
              <w:spacing w:after="0"/>
              <w:rPr>
                <w:rFonts w:asciiTheme="majorHAnsi" w:hAnsiTheme="majorHAnsi"/>
                <w:sz w:val="16"/>
                <w:szCs w:val="16"/>
              </w:rPr>
            </w:pPr>
          </w:p>
        </w:tc>
        <w:tc>
          <w:tcPr>
            <w:tcW w:w="340" w:type="dxa"/>
            <w:shd w:val="clear" w:color="auto" w:fill="auto"/>
          </w:tcPr>
          <w:p w:rsidR="00B4070E" w:rsidRPr="009420FB" w:rsidRDefault="00B4070E" w:rsidP="009420FB">
            <w:pPr>
              <w:spacing w:after="0"/>
              <w:rPr>
                <w:rFonts w:asciiTheme="majorHAnsi" w:hAnsiTheme="majorHAnsi"/>
                <w:sz w:val="16"/>
                <w:szCs w:val="16"/>
              </w:rPr>
            </w:pPr>
          </w:p>
        </w:tc>
        <w:tc>
          <w:tcPr>
            <w:tcW w:w="340" w:type="dxa"/>
            <w:shd w:val="clear" w:color="auto" w:fill="auto"/>
          </w:tcPr>
          <w:p w:rsidR="00B4070E" w:rsidRPr="009420FB" w:rsidRDefault="00B4070E" w:rsidP="009420FB">
            <w:pPr>
              <w:spacing w:after="0"/>
              <w:rPr>
                <w:rFonts w:asciiTheme="majorHAnsi" w:hAnsiTheme="majorHAnsi"/>
                <w:sz w:val="16"/>
                <w:szCs w:val="16"/>
              </w:rPr>
            </w:pPr>
          </w:p>
        </w:tc>
        <w:tc>
          <w:tcPr>
            <w:tcW w:w="340" w:type="dxa"/>
            <w:shd w:val="clear" w:color="auto" w:fill="auto"/>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9420FB">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9420FB">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 xml:space="preserve">Update </w:t>
            </w:r>
            <w:r>
              <w:rPr>
                <w:rFonts w:asciiTheme="majorHAnsi" w:hAnsiTheme="majorHAnsi"/>
                <w:sz w:val="16"/>
                <w:szCs w:val="16"/>
              </w:rPr>
              <w:t>Planning Proposal</w:t>
            </w:r>
            <w:r w:rsidRPr="009420FB">
              <w:rPr>
                <w:rFonts w:asciiTheme="majorHAnsi" w:hAnsiTheme="majorHAnsi"/>
                <w:sz w:val="16"/>
                <w:szCs w:val="16"/>
              </w:rPr>
              <w:t xml:space="preserve"> incorporating recommendations of the above investigations</w:t>
            </w: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color w:val="FF0000"/>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color w:val="FF0000"/>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Preparation of draft maps for exhibition</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Report to Council for public exhibition</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Public exhibition</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Consultation with public authorities according to the GD</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Review of submissions</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Pr>
                <w:rFonts w:asciiTheme="majorHAnsi" w:hAnsiTheme="majorHAnsi"/>
                <w:sz w:val="16"/>
                <w:szCs w:val="16"/>
              </w:rPr>
              <w:t>Request an extension for timeframe</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 xml:space="preserve">Update </w:t>
            </w:r>
            <w:r>
              <w:rPr>
                <w:rFonts w:asciiTheme="majorHAnsi" w:hAnsiTheme="majorHAnsi"/>
                <w:sz w:val="16"/>
                <w:szCs w:val="16"/>
              </w:rPr>
              <w:t>Planning Proposal</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B4070E" w:rsidRPr="009420FB" w:rsidTr="0090416C">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Report to Council following public exhibition</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r>
      <w:tr w:rsidR="0090416C" w:rsidRPr="009420FB" w:rsidTr="005C3C96">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 xml:space="preserve">Submission to the Department to finalise LEP amendment </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BFBFBF" w:themeFill="background1" w:themeFillShade="BF"/>
          </w:tcPr>
          <w:p w:rsidR="00B4070E" w:rsidRPr="009420FB" w:rsidRDefault="00B4070E" w:rsidP="007E2EA0">
            <w:pPr>
              <w:spacing w:after="0"/>
              <w:rPr>
                <w:rFonts w:asciiTheme="majorHAnsi" w:hAnsiTheme="majorHAnsi"/>
                <w:sz w:val="16"/>
                <w:szCs w:val="16"/>
              </w:rPr>
            </w:pPr>
          </w:p>
        </w:tc>
      </w:tr>
      <w:tr w:rsidR="00B4070E" w:rsidRPr="009420FB" w:rsidTr="005C3C96">
        <w:trPr>
          <w:trHeight w:val="284"/>
        </w:trPr>
        <w:tc>
          <w:tcPr>
            <w:tcW w:w="2093" w:type="dxa"/>
            <w:vAlign w:val="center"/>
          </w:tcPr>
          <w:p w:rsidR="00B4070E" w:rsidRPr="009420FB" w:rsidRDefault="00B4070E" w:rsidP="007E2EA0">
            <w:pPr>
              <w:spacing w:after="0"/>
              <w:rPr>
                <w:rFonts w:asciiTheme="majorHAnsi" w:hAnsiTheme="majorHAnsi"/>
                <w:sz w:val="16"/>
                <w:szCs w:val="16"/>
              </w:rPr>
            </w:pPr>
            <w:r w:rsidRPr="009420FB">
              <w:rPr>
                <w:rFonts w:asciiTheme="majorHAnsi" w:hAnsiTheme="majorHAnsi"/>
                <w:sz w:val="16"/>
                <w:szCs w:val="16"/>
              </w:rPr>
              <w:t>Gazettal of LEP Amendment</w:t>
            </w:r>
          </w:p>
        </w:tc>
        <w:tc>
          <w:tcPr>
            <w:tcW w:w="340" w:type="dxa"/>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tcPr>
          <w:p w:rsidR="00B4070E" w:rsidRPr="009420FB" w:rsidRDefault="00B4070E" w:rsidP="007E2EA0">
            <w:pPr>
              <w:spacing w:after="0"/>
              <w:rPr>
                <w:rFonts w:asciiTheme="majorHAnsi" w:hAnsiTheme="majorHAnsi"/>
                <w:sz w:val="16"/>
                <w:szCs w:val="16"/>
              </w:rPr>
            </w:pPr>
          </w:p>
        </w:tc>
        <w:tc>
          <w:tcPr>
            <w:tcW w:w="340" w:type="dxa"/>
            <w:shd w:val="clear" w:color="auto" w:fill="FFFFFF" w:themeFill="background1"/>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vAlign w:val="center"/>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c>
          <w:tcPr>
            <w:tcW w:w="340" w:type="dxa"/>
            <w:shd w:val="clear" w:color="auto" w:fill="auto"/>
          </w:tcPr>
          <w:p w:rsidR="00B4070E" w:rsidRPr="009420FB" w:rsidRDefault="00B4070E" w:rsidP="007E2EA0">
            <w:pPr>
              <w:spacing w:after="0"/>
              <w:rPr>
                <w:rFonts w:asciiTheme="majorHAnsi" w:hAnsiTheme="majorHAnsi"/>
                <w:sz w:val="16"/>
                <w:szCs w:val="16"/>
              </w:rPr>
            </w:pPr>
          </w:p>
        </w:tc>
      </w:tr>
    </w:tbl>
    <w:p w:rsidR="009420FB" w:rsidRDefault="009420FB" w:rsidP="00490DE9">
      <w:pPr>
        <w:autoSpaceDE w:val="0"/>
        <w:autoSpaceDN w:val="0"/>
        <w:adjustRightInd w:val="0"/>
        <w:spacing w:after="0"/>
        <w:rPr>
          <w:rFonts w:ascii="Trebuchet MS" w:eastAsia="Times New Roman" w:hAnsi="Trebuchet MS" w:cs="Arial"/>
          <w:b/>
          <w:color w:val="000000"/>
          <w:lang w:eastAsia="en-AU"/>
        </w:rPr>
      </w:pPr>
    </w:p>
    <w:p w:rsidR="009757DA" w:rsidRPr="005813CD" w:rsidRDefault="009757DA" w:rsidP="005813CD">
      <w:pPr>
        <w:pBdr>
          <w:bottom w:val="single" w:sz="12" w:space="1" w:color="0F243E" w:themeColor="text2" w:themeShade="80"/>
        </w:pBdr>
        <w:autoSpaceDE w:val="0"/>
        <w:autoSpaceDN w:val="0"/>
        <w:adjustRightInd w:val="0"/>
        <w:spacing w:after="0"/>
        <w:rPr>
          <w:rFonts w:ascii="Trebuchet MS" w:eastAsia="Times New Roman" w:hAnsi="Trebuchet MS" w:cs="Arial"/>
          <w:b/>
          <w:caps/>
          <w:color w:val="000000"/>
          <w:lang w:eastAsia="en-AU"/>
        </w:rPr>
      </w:pPr>
      <w:r w:rsidRPr="005813CD">
        <w:rPr>
          <w:rFonts w:ascii="Trebuchet MS" w:eastAsia="Times New Roman" w:hAnsi="Trebuchet MS" w:cs="Arial"/>
          <w:b/>
          <w:color w:val="000000"/>
          <w:lang w:eastAsia="en-AU"/>
        </w:rPr>
        <w:lastRenderedPageBreak/>
        <w:t>4</w:t>
      </w:r>
      <w:r w:rsidRPr="005813CD">
        <w:rPr>
          <w:rFonts w:ascii="Trebuchet MS" w:eastAsia="Times New Roman" w:hAnsi="Trebuchet MS" w:cs="Arial"/>
          <w:b/>
          <w:color w:val="000000"/>
          <w:lang w:eastAsia="en-AU"/>
        </w:rPr>
        <w:tab/>
      </w:r>
      <w:r w:rsidRPr="005813CD">
        <w:rPr>
          <w:rFonts w:ascii="Trebuchet MS" w:eastAsia="Times New Roman" w:hAnsi="Trebuchet MS" w:cs="Arial"/>
          <w:b/>
          <w:caps/>
          <w:color w:val="000000"/>
          <w:lang w:eastAsia="en-AU"/>
        </w:rPr>
        <w:t>Co</w:t>
      </w:r>
      <w:bookmarkStart w:id="14" w:name="conclution"/>
      <w:bookmarkEnd w:id="14"/>
      <w:r w:rsidRPr="005813CD">
        <w:rPr>
          <w:rFonts w:ascii="Trebuchet MS" w:eastAsia="Times New Roman" w:hAnsi="Trebuchet MS" w:cs="Arial"/>
          <w:b/>
          <w:caps/>
          <w:color w:val="000000"/>
          <w:lang w:eastAsia="en-AU"/>
        </w:rPr>
        <w:t>nclusion</w:t>
      </w:r>
    </w:p>
    <w:p w:rsidR="00490DE9" w:rsidRPr="00490DE9" w:rsidRDefault="00490DE9" w:rsidP="00475AD1">
      <w:pPr>
        <w:widowControl w:val="0"/>
        <w:autoSpaceDE w:val="0"/>
        <w:autoSpaceDN w:val="0"/>
        <w:adjustRightInd w:val="0"/>
        <w:spacing w:after="0"/>
        <w:rPr>
          <w:rFonts w:asciiTheme="majorHAnsi" w:hAnsiTheme="majorHAnsi" w:cs="Cambria"/>
          <w:sz w:val="10"/>
          <w:szCs w:val="10"/>
          <w:lang w:val="en-US"/>
        </w:rPr>
      </w:pPr>
    </w:p>
    <w:p w:rsidR="00721E1D" w:rsidRDefault="008B3B98"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r>
        <w:rPr>
          <w:rFonts w:asciiTheme="majorHAnsi" w:hAnsiTheme="majorHAnsi" w:cs="Cambria"/>
          <w:sz w:val="22"/>
          <w:lang w:val="en-US"/>
        </w:rPr>
        <w:t xml:space="preserve">The zoning, </w:t>
      </w:r>
      <w:r w:rsidR="00B30F8F" w:rsidRPr="00B30F8F">
        <w:rPr>
          <w:rFonts w:asciiTheme="majorHAnsi" w:hAnsiTheme="majorHAnsi" w:cs="Cambria"/>
          <w:sz w:val="22"/>
          <w:lang w:val="en-US"/>
        </w:rPr>
        <w:t xml:space="preserve">minimum lot size </w:t>
      </w:r>
      <w:r>
        <w:rPr>
          <w:rFonts w:asciiTheme="majorHAnsi" w:hAnsiTheme="majorHAnsi" w:cs="Cambria"/>
          <w:sz w:val="22"/>
          <w:lang w:val="en-US"/>
        </w:rPr>
        <w:t xml:space="preserve">and maximum height </w:t>
      </w:r>
      <w:r w:rsidR="00B30F8F" w:rsidRPr="00B30F8F">
        <w:rPr>
          <w:rFonts w:asciiTheme="majorHAnsi" w:hAnsiTheme="majorHAnsi" w:cs="Cambria"/>
          <w:sz w:val="22"/>
          <w:lang w:val="en-US"/>
        </w:rPr>
        <w:t>provisions reflect consideration of</w:t>
      </w:r>
      <w:r w:rsidR="00475AD1">
        <w:rPr>
          <w:rFonts w:asciiTheme="majorHAnsi" w:hAnsiTheme="majorHAnsi" w:cs="Cambria"/>
          <w:sz w:val="22"/>
          <w:lang w:val="en-US"/>
        </w:rPr>
        <w:t xml:space="preserve"> </w:t>
      </w:r>
      <w:r w:rsidR="00B30F8F" w:rsidRPr="00B30F8F">
        <w:rPr>
          <w:rFonts w:asciiTheme="majorHAnsi" w:hAnsiTheme="majorHAnsi" w:cs="Cambria"/>
          <w:sz w:val="22"/>
          <w:lang w:val="en-US"/>
        </w:rPr>
        <w:t>environmental constraints and opportunities, surrounding land uses and built</w:t>
      </w:r>
      <w:r w:rsidR="00475AD1">
        <w:rPr>
          <w:rFonts w:asciiTheme="majorHAnsi" w:hAnsiTheme="majorHAnsi" w:cs="Cambria"/>
          <w:sz w:val="22"/>
          <w:lang w:val="en-US"/>
        </w:rPr>
        <w:t xml:space="preserve"> forms and </w:t>
      </w:r>
      <w:r w:rsidR="00B30F8F" w:rsidRPr="00B30F8F">
        <w:rPr>
          <w:rFonts w:asciiTheme="majorHAnsi" w:hAnsiTheme="majorHAnsi" w:cs="Cambria"/>
          <w:sz w:val="22"/>
          <w:lang w:val="en-US"/>
        </w:rPr>
        <w:t>suitable design outcomes that are consistent with local and regional</w:t>
      </w:r>
      <w:r w:rsidR="00475AD1">
        <w:rPr>
          <w:rFonts w:asciiTheme="majorHAnsi" w:hAnsiTheme="majorHAnsi" w:cs="Cambria"/>
          <w:sz w:val="22"/>
          <w:lang w:val="en-US"/>
        </w:rPr>
        <w:t xml:space="preserve"> </w:t>
      </w:r>
      <w:r w:rsidR="00B30F8F" w:rsidRPr="00B30F8F">
        <w:rPr>
          <w:rFonts w:asciiTheme="majorHAnsi" w:hAnsiTheme="majorHAnsi" w:cs="Cambria"/>
          <w:sz w:val="22"/>
          <w:lang w:val="en-US"/>
        </w:rPr>
        <w:t xml:space="preserve">strategies. It is recommended that this </w:t>
      </w:r>
      <w:r w:rsidR="006C7B49">
        <w:rPr>
          <w:rFonts w:asciiTheme="majorHAnsi" w:hAnsiTheme="majorHAnsi" w:cs="Cambria"/>
          <w:sz w:val="22"/>
          <w:lang w:val="en-US"/>
        </w:rPr>
        <w:t>Planning Proposal</w:t>
      </w:r>
      <w:r w:rsidR="00B30F8F">
        <w:rPr>
          <w:rFonts w:asciiTheme="majorHAnsi" w:hAnsiTheme="majorHAnsi" w:cs="Cambria"/>
          <w:sz w:val="22"/>
          <w:lang w:val="en-US"/>
        </w:rPr>
        <w:t xml:space="preserve">, </w:t>
      </w:r>
      <w:r w:rsidR="00D42DBD" w:rsidRPr="009420FB">
        <w:rPr>
          <w:rFonts w:asciiTheme="majorHAnsi" w:eastAsia="Times New Roman" w:hAnsiTheme="majorHAnsi" w:cs="Times New Roman"/>
          <w:color w:val="000000"/>
          <w:sz w:val="22"/>
          <w:szCs w:val="22"/>
          <w:lang w:eastAsia="en-AU"/>
        </w:rPr>
        <w:t>which</w:t>
      </w:r>
      <w:r w:rsidR="009757DA" w:rsidRPr="009420FB">
        <w:rPr>
          <w:rFonts w:asciiTheme="majorHAnsi" w:eastAsia="Times New Roman" w:hAnsiTheme="majorHAnsi" w:cs="Times New Roman"/>
          <w:color w:val="000000"/>
          <w:sz w:val="22"/>
          <w:szCs w:val="22"/>
          <w:lang w:eastAsia="en-AU"/>
        </w:rPr>
        <w:t xml:space="preserve"> incorporates the rezoning of Lot 1 DP 323945 from Primary Production RU1 </w:t>
      </w:r>
      <w:r w:rsidR="00CB3F84" w:rsidRPr="009420FB">
        <w:rPr>
          <w:rFonts w:asciiTheme="majorHAnsi" w:eastAsia="Times New Roman" w:hAnsiTheme="majorHAnsi" w:cs="Times New Roman"/>
          <w:color w:val="000000"/>
          <w:sz w:val="22"/>
          <w:szCs w:val="22"/>
          <w:lang w:eastAsia="en-AU"/>
        </w:rPr>
        <w:t>t</w:t>
      </w:r>
      <w:r w:rsidR="009757DA" w:rsidRPr="009420FB">
        <w:rPr>
          <w:rFonts w:asciiTheme="majorHAnsi" w:eastAsia="Times New Roman" w:hAnsiTheme="majorHAnsi" w:cs="Times New Roman"/>
          <w:color w:val="000000"/>
          <w:sz w:val="22"/>
          <w:szCs w:val="22"/>
          <w:lang w:eastAsia="en-AU"/>
        </w:rPr>
        <w:t xml:space="preserve">o </w:t>
      </w:r>
      <w:r w:rsidR="00CB3F84" w:rsidRPr="009420FB">
        <w:rPr>
          <w:rFonts w:asciiTheme="majorHAnsi" w:eastAsia="Times New Roman" w:hAnsiTheme="majorHAnsi" w:cs="Times New Roman"/>
          <w:color w:val="000000"/>
          <w:sz w:val="22"/>
          <w:szCs w:val="22"/>
          <w:lang w:eastAsia="en-AU"/>
        </w:rPr>
        <w:t xml:space="preserve">R5 </w:t>
      </w:r>
      <w:r w:rsidR="009757DA" w:rsidRPr="009420FB">
        <w:rPr>
          <w:rFonts w:asciiTheme="majorHAnsi" w:eastAsia="Times New Roman" w:hAnsiTheme="majorHAnsi" w:cs="Times New Roman"/>
          <w:color w:val="000000"/>
          <w:sz w:val="22"/>
          <w:szCs w:val="22"/>
          <w:lang w:eastAsia="en-AU"/>
        </w:rPr>
        <w:t>Large Lot Residential under Muswellbrook LEP 2009, to facilitate its future development for large lot residential living purposes</w:t>
      </w:r>
      <w:r w:rsidR="00B30F8F">
        <w:rPr>
          <w:rFonts w:asciiTheme="majorHAnsi" w:eastAsia="Times New Roman" w:hAnsiTheme="majorHAnsi" w:cs="Times New Roman"/>
          <w:color w:val="000000"/>
          <w:sz w:val="22"/>
          <w:szCs w:val="22"/>
          <w:lang w:eastAsia="en-AU"/>
        </w:rPr>
        <w:t>,</w:t>
      </w:r>
      <w:r>
        <w:rPr>
          <w:rFonts w:asciiTheme="majorHAnsi" w:eastAsia="Times New Roman" w:hAnsiTheme="majorHAnsi" w:cs="Times New Roman"/>
          <w:color w:val="000000"/>
          <w:sz w:val="22"/>
          <w:szCs w:val="22"/>
          <w:lang w:eastAsia="en-AU"/>
        </w:rPr>
        <w:t xml:space="preserve"> </w:t>
      </w:r>
      <w:r w:rsidR="00B30F8F" w:rsidRPr="00B30F8F">
        <w:rPr>
          <w:rFonts w:asciiTheme="majorHAnsi" w:hAnsiTheme="majorHAnsi" w:cs="Cambria"/>
          <w:sz w:val="22"/>
          <w:lang w:val="en-US"/>
        </w:rPr>
        <w:t>be supported.</w:t>
      </w:r>
      <w:r w:rsidR="00B30F8F">
        <w:rPr>
          <w:rFonts w:asciiTheme="majorHAnsi" w:hAnsiTheme="majorHAnsi" w:cs="Cambria"/>
          <w:sz w:val="22"/>
          <w:lang w:val="en-US"/>
        </w:rPr>
        <w:t xml:space="preserve"> </w:t>
      </w: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721E1D" w:rsidRDefault="00721E1D" w:rsidP="00721E1D">
      <w:pPr>
        <w:widowControl w:val="0"/>
        <w:autoSpaceDE w:val="0"/>
        <w:autoSpaceDN w:val="0"/>
        <w:adjustRightInd w:val="0"/>
        <w:spacing w:after="0"/>
        <w:jc w:val="both"/>
        <w:rPr>
          <w:rFonts w:ascii="Trebuchet MS" w:eastAsia="Times New Roman" w:hAnsi="Trebuchet MS" w:cs="Times New Roman"/>
          <w:color w:val="000000"/>
          <w:sz w:val="19"/>
          <w:lang w:eastAsia="en-AU"/>
        </w:rPr>
      </w:pPr>
    </w:p>
    <w:p w:rsidR="0014092D" w:rsidRPr="00721E1D" w:rsidRDefault="0014092D" w:rsidP="00721E1D">
      <w:pPr>
        <w:widowControl w:val="0"/>
        <w:pBdr>
          <w:bottom w:val="single" w:sz="4" w:space="1" w:color="A6A6A6" w:themeColor="background1" w:themeShade="A6"/>
        </w:pBdr>
        <w:autoSpaceDE w:val="0"/>
        <w:autoSpaceDN w:val="0"/>
        <w:adjustRightInd w:val="0"/>
        <w:spacing w:after="0"/>
        <w:jc w:val="both"/>
        <w:rPr>
          <w:rFonts w:asciiTheme="majorHAnsi" w:hAnsiTheme="majorHAnsi" w:cs="Cambria"/>
          <w:sz w:val="22"/>
          <w:lang w:val="en-US"/>
        </w:rPr>
      </w:pPr>
      <w:r w:rsidRPr="008102A2">
        <w:rPr>
          <w:rFonts w:asciiTheme="majorHAnsi" w:eastAsia="Times New Roman" w:hAnsiTheme="majorHAnsi" w:cs="Times New Roman"/>
          <w:b/>
          <w:color w:val="000000"/>
          <w:sz w:val="28"/>
          <w:lang w:eastAsia="en-AU"/>
        </w:rPr>
        <w:t>Appendices:</w:t>
      </w:r>
      <w:r w:rsidR="000F4E4F" w:rsidRPr="008102A2">
        <w:rPr>
          <w:rFonts w:asciiTheme="majorHAnsi" w:eastAsia="Times New Roman" w:hAnsiTheme="majorHAnsi" w:cs="Times New Roman"/>
          <w:b/>
          <w:color w:val="000000"/>
          <w:sz w:val="28"/>
          <w:lang w:eastAsia="en-AU"/>
        </w:rPr>
        <w:t xml:space="preserve"> </w:t>
      </w:r>
    </w:p>
    <w:p w:rsidR="0014092D" w:rsidRPr="008102A2" w:rsidRDefault="0014092D" w:rsidP="0014092D">
      <w:pPr>
        <w:spacing w:before="120" w:after="120"/>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 xml:space="preserve">Appendix 1 – </w:t>
      </w:r>
      <w:r w:rsidR="00B218B7">
        <w:rPr>
          <w:rFonts w:asciiTheme="majorHAnsi" w:eastAsia="Times New Roman" w:hAnsiTheme="majorHAnsi" w:cs="Times New Roman"/>
          <w:color w:val="000000"/>
          <w:lang w:eastAsia="en-AU"/>
        </w:rPr>
        <w:t xml:space="preserve">Extract: </w:t>
      </w:r>
      <w:r w:rsidRPr="008102A2">
        <w:rPr>
          <w:rFonts w:asciiTheme="majorHAnsi" w:eastAsia="Times New Roman" w:hAnsiTheme="majorHAnsi" w:cs="Times New Roman"/>
          <w:color w:val="000000"/>
          <w:lang w:eastAsia="en-AU"/>
        </w:rPr>
        <w:t>Waebron Soil and Land Capability Assessment</w:t>
      </w:r>
      <w:r w:rsidR="00C14D5E">
        <w:rPr>
          <w:rFonts w:asciiTheme="majorHAnsi" w:eastAsia="Times New Roman" w:hAnsiTheme="majorHAnsi" w:cs="Times New Roman"/>
          <w:color w:val="000000"/>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14092D" w:rsidRPr="008102A2" w:rsidRDefault="0014092D" w:rsidP="0014092D">
      <w:pPr>
        <w:spacing w:before="120" w:after="120"/>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Appendix 2 – Gateway Determination</w:t>
      </w:r>
      <w:r w:rsidR="005C3C96">
        <w:rPr>
          <w:rFonts w:asciiTheme="majorHAnsi" w:eastAsia="Times New Roman" w:hAnsiTheme="majorHAnsi" w:cs="Times New Roman"/>
          <w:color w:val="000000"/>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14092D" w:rsidRPr="008102A2" w:rsidRDefault="0014092D" w:rsidP="0014092D">
      <w:pPr>
        <w:spacing w:before="120" w:after="120"/>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 xml:space="preserve">Appendix 3 – </w:t>
      </w:r>
      <w:r w:rsidR="00721E1D">
        <w:rPr>
          <w:rFonts w:asciiTheme="majorHAnsi" w:eastAsia="Times New Roman" w:hAnsiTheme="majorHAnsi" w:cs="Times New Roman"/>
          <w:color w:val="000000"/>
          <w:lang w:eastAsia="en-AU"/>
        </w:rPr>
        <w:t>Submissions</w:t>
      </w:r>
      <w:r w:rsidR="00C14D5E">
        <w:rPr>
          <w:rFonts w:asciiTheme="majorHAnsi" w:eastAsia="Times New Roman" w:hAnsiTheme="majorHAnsi" w:cs="Times New Roman"/>
          <w:color w:val="000000"/>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14092D" w:rsidRPr="008102A2" w:rsidRDefault="0014092D" w:rsidP="0014092D">
      <w:pPr>
        <w:spacing w:before="120" w:after="120"/>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Appendix 4 – Studies</w:t>
      </w:r>
      <w:r w:rsidR="00E42878">
        <w:rPr>
          <w:rFonts w:asciiTheme="majorHAnsi" w:eastAsia="Times New Roman" w:hAnsiTheme="majorHAnsi" w:cs="Times New Roman"/>
          <w:color w:val="000000"/>
          <w:lang w:eastAsia="en-AU"/>
        </w:rPr>
        <w:t xml:space="preserve"> and Investigations</w:t>
      </w:r>
      <w:r w:rsidR="00C14D5E">
        <w:rPr>
          <w:rFonts w:asciiTheme="majorHAnsi" w:eastAsia="Times New Roman" w:hAnsiTheme="majorHAnsi" w:cs="Times New Roman"/>
          <w:color w:val="000000"/>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14092D" w:rsidRPr="008102A2" w:rsidRDefault="0014092D" w:rsidP="008102A2">
      <w:pPr>
        <w:tabs>
          <w:tab w:val="left" w:pos="1843"/>
        </w:tabs>
        <w:spacing w:after="0"/>
        <w:ind w:left="1134" w:firstLine="426"/>
        <w:contextualSpacing/>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w:t>
      </w:r>
      <w:r w:rsidRPr="008102A2">
        <w:rPr>
          <w:rFonts w:asciiTheme="majorHAnsi" w:eastAsia="Times New Roman" w:hAnsiTheme="majorHAnsi" w:cs="Times New Roman"/>
          <w:color w:val="000000"/>
          <w:lang w:eastAsia="en-AU"/>
        </w:rPr>
        <w:tab/>
      </w:r>
      <w:r w:rsidR="00E42878">
        <w:rPr>
          <w:rFonts w:asciiTheme="majorHAnsi" w:eastAsia="Times New Roman" w:hAnsiTheme="majorHAnsi" w:cs="Times New Roman"/>
          <w:color w:val="000000"/>
          <w:lang w:eastAsia="en-AU"/>
        </w:rPr>
        <w:t>Preliminary A</w:t>
      </w:r>
      <w:r w:rsidRPr="008102A2">
        <w:rPr>
          <w:rFonts w:asciiTheme="majorHAnsi" w:eastAsia="Times New Roman" w:hAnsiTheme="majorHAnsi" w:cs="Times New Roman"/>
          <w:color w:val="000000"/>
          <w:lang w:eastAsia="en-AU"/>
        </w:rPr>
        <w:t>boriginal Heritage Assessment</w:t>
      </w:r>
      <w:r w:rsidR="00B218B7">
        <w:rPr>
          <w:rFonts w:asciiTheme="majorHAnsi" w:eastAsia="Times New Roman" w:hAnsiTheme="majorHAnsi" w:cs="Times New Roman"/>
          <w:color w:val="000000"/>
          <w:lang w:eastAsia="en-AU"/>
        </w:rPr>
        <w:t xml:space="preserve"> </w:t>
      </w:r>
    </w:p>
    <w:p w:rsidR="0014092D" w:rsidRPr="008102A2" w:rsidRDefault="0014092D" w:rsidP="008102A2">
      <w:pPr>
        <w:tabs>
          <w:tab w:val="left" w:pos="1843"/>
        </w:tabs>
        <w:spacing w:after="0"/>
        <w:ind w:left="1134" w:firstLine="426"/>
        <w:contextualSpacing/>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w:t>
      </w:r>
      <w:r w:rsidRPr="008102A2">
        <w:rPr>
          <w:rFonts w:asciiTheme="majorHAnsi" w:eastAsia="Times New Roman" w:hAnsiTheme="majorHAnsi" w:cs="Times New Roman"/>
          <w:color w:val="000000"/>
          <w:lang w:eastAsia="en-AU"/>
        </w:rPr>
        <w:tab/>
        <w:t>Preliminary Site Contamination Assessment</w:t>
      </w:r>
      <w:r w:rsidR="00B218B7">
        <w:rPr>
          <w:rFonts w:asciiTheme="majorHAnsi" w:eastAsia="Times New Roman" w:hAnsiTheme="majorHAnsi" w:cs="Times New Roman"/>
          <w:color w:val="000000"/>
          <w:lang w:eastAsia="en-AU"/>
        </w:rPr>
        <w:t xml:space="preserve"> </w:t>
      </w:r>
    </w:p>
    <w:p w:rsidR="0014092D" w:rsidRPr="008102A2" w:rsidRDefault="0014092D" w:rsidP="008102A2">
      <w:pPr>
        <w:tabs>
          <w:tab w:val="left" w:pos="1843"/>
        </w:tabs>
        <w:spacing w:after="0"/>
        <w:ind w:left="1134" w:firstLine="426"/>
        <w:contextualSpacing/>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w:t>
      </w:r>
      <w:r w:rsidRPr="008102A2">
        <w:rPr>
          <w:rFonts w:asciiTheme="majorHAnsi" w:eastAsia="Times New Roman" w:hAnsiTheme="majorHAnsi" w:cs="Times New Roman"/>
          <w:color w:val="000000"/>
          <w:lang w:eastAsia="en-AU"/>
        </w:rPr>
        <w:tab/>
        <w:t xml:space="preserve">Engineering Services Report </w:t>
      </w:r>
    </w:p>
    <w:p w:rsidR="0014092D" w:rsidRPr="008102A2" w:rsidRDefault="0014092D" w:rsidP="008102A2">
      <w:pPr>
        <w:tabs>
          <w:tab w:val="left" w:pos="1843"/>
        </w:tabs>
        <w:spacing w:after="0"/>
        <w:ind w:left="1134" w:firstLine="426"/>
        <w:contextualSpacing/>
        <w:rPr>
          <w:rFonts w:asciiTheme="majorHAnsi" w:eastAsia="Times New Roman" w:hAnsiTheme="majorHAnsi" w:cs="Times New Roman"/>
          <w:color w:val="000000"/>
          <w:lang w:eastAsia="en-AU"/>
        </w:rPr>
      </w:pPr>
      <w:r w:rsidRPr="008102A2">
        <w:rPr>
          <w:rFonts w:asciiTheme="majorHAnsi" w:eastAsia="Times New Roman" w:hAnsiTheme="majorHAnsi" w:cs="Times New Roman"/>
          <w:color w:val="000000"/>
          <w:lang w:eastAsia="en-AU"/>
        </w:rPr>
        <w:t>•</w:t>
      </w:r>
      <w:r w:rsidRPr="008102A2">
        <w:rPr>
          <w:rFonts w:asciiTheme="majorHAnsi" w:eastAsia="Times New Roman" w:hAnsiTheme="majorHAnsi" w:cs="Times New Roman"/>
          <w:color w:val="000000"/>
          <w:lang w:eastAsia="en-AU"/>
        </w:rPr>
        <w:tab/>
        <w:t>Preliminary concept lot layout</w:t>
      </w: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EC3F9A" w:rsidRDefault="00EC3F9A" w:rsidP="00490DE9">
      <w:pPr>
        <w:spacing w:after="0"/>
        <w:contextualSpacing/>
        <w:jc w:val="center"/>
        <w:rPr>
          <w:rFonts w:asciiTheme="majorHAnsi" w:eastAsia="Times New Roman" w:hAnsiTheme="majorHAnsi" w:cs="Times New Roman"/>
          <w:b/>
          <w:color w:val="000000"/>
          <w:sz w:val="72"/>
          <w:lang w:eastAsia="en-AU"/>
        </w:rPr>
      </w:pPr>
    </w:p>
    <w:p w:rsidR="00EC3F9A" w:rsidRDefault="00EC3F9A" w:rsidP="00490DE9">
      <w:pPr>
        <w:spacing w:after="0"/>
        <w:contextualSpacing/>
        <w:jc w:val="center"/>
        <w:rPr>
          <w:rFonts w:asciiTheme="majorHAnsi" w:eastAsia="Times New Roman" w:hAnsiTheme="majorHAnsi" w:cs="Times New Roman"/>
          <w:b/>
          <w:color w:val="000000"/>
          <w:sz w:val="72"/>
          <w:lang w:eastAsia="en-AU"/>
        </w:rPr>
      </w:pPr>
    </w:p>
    <w:p w:rsidR="00EC3F9A" w:rsidRDefault="00EC3F9A" w:rsidP="00490DE9">
      <w:pPr>
        <w:spacing w:after="0"/>
        <w:contextualSpacing/>
        <w:jc w:val="center"/>
        <w:rPr>
          <w:rFonts w:asciiTheme="majorHAnsi" w:eastAsia="Times New Roman" w:hAnsiTheme="majorHAnsi" w:cs="Times New Roman"/>
          <w:b/>
          <w:color w:val="000000"/>
          <w:sz w:val="72"/>
          <w:lang w:eastAsia="en-AU"/>
        </w:rPr>
      </w:pPr>
    </w:p>
    <w:p w:rsidR="00EC3F9A" w:rsidRDefault="00EC3F9A" w:rsidP="00490DE9">
      <w:pPr>
        <w:spacing w:after="0"/>
        <w:contextualSpacing/>
        <w:jc w:val="center"/>
        <w:rPr>
          <w:rFonts w:asciiTheme="majorHAnsi" w:eastAsia="Times New Roman" w:hAnsiTheme="majorHAnsi" w:cs="Times New Roman"/>
          <w:b/>
          <w:color w:val="000000"/>
          <w:sz w:val="72"/>
          <w:lang w:eastAsia="en-AU"/>
        </w:rPr>
      </w:pPr>
    </w:p>
    <w:p w:rsidR="00EC3F9A" w:rsidRPr="007A7E44" w:rsidRDefault="00EC3F9A" w:rsidP="00490DE9">
      <w:pPr>
        <w:spacing w:after="0"/>
        <w:contextualSpacing/>
        <w:jc w:val="center"/>
        <w:rPr>
          <w:rFonts w:asciiTheme="majorHAnsi" w:eastAsia="Times New Roman" w:hAnsiTheme="majorHAnsi" w:cs="Times New Roman"/>
          <w:b/>
          <w:color w:val="000000"/>
          <w:sz w:val="48"/>
          <w:lang w:eastAsia="en-AU"/>
        </w:rPr>
      </w:pPr>
      <w:r w:rsidRPr="007A7E44">
        <w:rPr>
          <w:rFonts w:asciiTheme="majorHAnsi" w:eastAsia="Times New Roman" w:hAnsiTheme="majorHAnsi" w:cs="Times New Roman"/>
          <w:b/>
          <w:color w:val="000000"/>
          <w:sz w:val="48"/>
          <w:lang w:eastAsia="en-AU"/>
        </w:rPr>
        <w:t>Appendix 1</w:t>
      </w:r>
    </w:p>
    <w:p w:rsidR="00EC3F9A" w:rsidRPr="007A7E44" w:rsidRDefault="00EC3F9A" w:rsidP="00490DE9">
      <w:pPr>
        <w:spacing w:after="0"/>
        <w:contextualSpacing/>
        <w:jc w:val="center"/>
        <w:rPr>
          <w:rFonts w:asciiTheme="majorHAnsi" w:eastAsia="Times New Roman" w:hAnsiTheme="majorHAnsi" w:cs="Times New Roman"/>
          <w:b/>
          <w:color w:val="000000"/>
          <w:sz w:val="48"/>
          <w:lang w:eastAsia="en-AU"/>
        </w:rPr>
      </w:pPr>
    </w:p>
    <w:p w:rsidR="00C14D5E" w:rsidRDefault="00EC3F9A" w:rsidP="00490DE9">
      <w:pPr>
        <w:spacing w:after="0"/>
        <w:contextualSpacing/>
        <w:jc w:val="center"/>
        <w:rPr>
          <w:rFonts w:asciiTheme="majorHAnsi" w:eastAsia="Times New Roman" w:hAnsiTheme="majorHAnsi" w:cs="Times New Roman"/>
          <w:b/>
          <w:i/>
          <w:color w:val="000000"/>
          <w:sz w:val="28"/>
          <w:lang w:eastAsia="en-AU"/>
        </w:rPr>
      </w:pPr>
      <w:r w:rsidRPr="007A7E44">
        <w:rPr>
          <w:rFonts w:asciiTheme="majorHAnsi" w:eastAsia="Times New Roman" w:hAnsiTheme="majorHAnsi" w:cs="Times New Roman"/>
          <w:b/>
          <w:i/>
          <w:color w:val="000000"/>
          <w:sz w:val="28"/>
          <w:lang w:eastAsia="en-AU"/>
        </w:rPr>
        <w:t>Waebron Soil and Land Capability Assessment (Extract)</w:t>
      </w:r>
    </w:p>
    <w:p w:rsidR="00EC3F9A" w:rsidRPr="007A7E44" w:rsidRDefault="00C14D5E" w:rsidP="00490DE9">
      <w:pPr>
        <w:spacing w:after="0"/>
        <w:contextualSpacing/>
        <w:jc w:val="center"/>
        <w:rPr>
          <w:rFonts w:asciiTheme="majorHAnsi" w:eastAsia="Times New Roman" w:hAnsiTheme="majorHAnsi" w:cs="Times New Roman"/>
          <w:b/>
          <w:i/>
          <w:color w:val="000000"/>
          <w:sz w:val="28"/>
          <w:lang w:eastAsia="en-AU"/>
        </w:rPr>
      </w:pPr>
      <w:r w:rsidRPr="00B218B7">
        <w:rPr>
          <w:rFonts w:asciiTheme="majorHAnsi" w:eastAsia="Times New Roman" w:hAnsiTheme="majorHAnsi" w:cs="Times New Roman"/>
          <w:i/>
          <w:color w:val="000000"/>
          <w:sz w:val="22"/>
          <w:szCs w:val="22"/>
          <w:lang w:eastAsia="en-AU"/>
        </w:rPr>
        <w:t>(</w:t>
      </w:r>
      <w:proofErr w:type="gramStart"/>
      <w:r w:rsidRPr="00B218B7">
        <w:rPr>
          <w:rFonts w:asciiTheme="majorHAnsi" w:eastAsia="Times New Roman" w:hAnsiTheme="majorHAnsi" w:cs="Times New Roman"/>
          <w:i/>
          <w:color w:val="000000"/>
          <w:sz w:val="22"/>
          <w:szCs w:val="22"/>
          <w:lang w:eastAsia="en-AU"/>
        </w:rPr>
        <w:t>attached</w:t>
      </w:r>
      <w:proofErr w:type="gramEnd"/>
      <w:r w:rsidRPr="00B218B7">
        <w:rPr>
          <w:rFonts w:asciiTheme="majorHAnsi" w:eastAsia="Times New Roman" w:hAnsiTheme="majorHAnsi" w:cs="Times New Roman"/>
          <w:i/>
          <w:color w:val="000000"/>
          <w:sz w:val="22"/>
          <w:szCs w:val="22"/>
          <w:lang w:eastAsia="en-AU"/>
        </w:rPr>
        <w:t xml:space="preserve"> separately)</w:t>
      </w:r>
    </w:p>
    <w:p w:rsidR="0014092D" w:rsidRPr="00721E1D" w:rsidRDefault="0014092D" w:rsidP="00490DE9">
      <w:pPr>
        <w:spacing w:after="0"/>
        <w:contextualSpacing/>
        <w:jc w:val="center"/>
        <w:rPr>
          <w:rFonts w:asciiTheme="majorHAnsi" w:eastAsia="Times New Roman" w:hAnsiTheme="majorHAnsi" w:cs="Times New Roman"/>
          <w:b/>
          <w:color w:val="000000"/>
          <w:sz w:val="56"/>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14092D" w:rsidRDefault="0014092D" w:rsidP="00490DE9">
      <w:pPr>
        <w:spacing w:after="0"/>
        <w:contextualSpacing/>
        <w:jc w:val="center"/>
        <w:rPr>
          <w:rFonts w:asciiTheme="majorHAnsi" w:eastAsia="Times New Roman" w:hAnsiTheme="majorHAnsi" w:cs="Times New Roman"/>
          <w:b/>
          <w:color w:val="000000"/>
          <w:sz w:val="72"/>
          <w:lang w:eastAsia="en-AU"/>
        </w:rPr>
      </w:pPr>
    </w:p>
    <w:p w:rsidR="00603B1E" w:rsidRDefault="00603B1E"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A7E44" w:rsidRDefault="007A7E44" w:rsidP="008102A2">
      <w:pPr>
        <w:spacing w:after="0"/>
        <w:contextualSpacing/>
        <w:rPr>
          <w:rFonts w:asciiTheme="majorHAnsi" w:eastAsia="Times New Roman" w:hAnsiTheme="majorHAnsi" w:cs="Arial"/>
          <w:b/>
          <w:sz w:val="40"/>
          <w:szCs w:val="22"/>
          <w:lang w:eastAsia="en-AU"/>
        </w:rPr>
      </w:pPr>
    </w:p>
    <w:p w:rsidR="00721E1D" w:rsidRPr="007A7E44" w:rsidRDefault="00721E1D" w:rsidP="008102A2">
      <w:pPr>
        <w:spacing w:after="0"/>
        <w:contextualSpacing/>
        <w:rPr>
          <w:rFonts w:asciiTheme="majorHAnsi" w:eastAsia="Times New Roman" w:hAnsiTheme="majorHAnsi" w:cs="Arial"/>
          <w:b/>
          <w:sz w:val="44"/>
          <w:szCs w:val="22"/>
          <w:lang w:eastAsia="en-AU"/>
        </w:rPr>
      </w:pPr>
    </w:p>
    <w:p w:rsidR="00721E1D" w:rsidRPr="007A7E44" w:rsidRDefault="00721E1D" w:rsidP="00721E1D">
      <w:pPr>
        <w:spacing w:after="0"/>
        <w:contextualSpacing/>
        <w:jc w:val="center"/>
        <w:rPr>
          <w:rFonts w:asciiTheme="majorHAnsi" w:eastAsia="Times New Roman" w:hAnsiTheme="majorHAnsi" w:cs="Times New Roman"/>
          <w:b/>
          <w:color w:val="000000"/>
          <w:sz w:val="48"/>
          <w:lang w:eastAsia="en-AU"/>
        </w:rPr>
      </w:pPr>
      <w:r w:rsidRPr="007A7E44">
        <w:rPr>
          <w:rFonts w:asciiTheme="majorHAnsi" w:eastAsia="Times New Roman" w:hAnsiTheme="majorHAnsi" w:cs="Times New Roman"/>
          <w:b/>
          <w:color w:val="000000"/>
          <w:sz w:val="48"/>
          <w:lang w:eastAsia="en-AU"/>
        </w:rPr>
        <w:t>Appendix 2</w:t>
      </w:r>
    </w:p>
    <w:p w:rsidR="00721E1D" w:rsidRPr="007A7E44" w:rsidRDefault="00721E1D" w:rsidP="00721E1D">
      <w:pPr>
        <w:spacing w:after="0"/>
        <w:contextualSpacing/>
        <w:jc w:val="center"/>
        <w:rPr>
          <w:rFonts w:asciiTheme="majorHAnsi" w:eastAsia="Times New Roman" w:hAnsiTheme="majorHAnsi" w:cs="Times New Roman"/>
          <w:b/>
          <w:color w:val="000000"/>
          <w:sz w:val="44"/>
          <w:lang w:eastAsia="en-AU"/>
        </w:rPr>
      </w:pPr>
    </w:p>
    <w:p w:rsidR="00721E1D" w:rsidRPr="007A7E44" w:rsidRDefault="00721E1D" w:rsidP="00721E1D">
      <w:pPr>
        <w:spacing w:after="0"/>
        <w:contextualSpacing/>
        <w:jc w:val="center"/>
        <w:rPr>
          <w:rFonts w:asciiTheme="majorHAnsi" w:eastAsia="Times New Roman" w:hAnsiTheme="majorHAnsi" w:cs="Times New Roman"/>
          <w:b/>
          <w:color w:val="000000"/>
          <w:sz w:val="48"/>
          <w:lang w:eastAsia="en-AU"/>
        </w:rPr>
      </w:pPr>
      <w:r w:rsidRPr="007A7E44">
        <w:rPr>
          <w:rFonts w:asciiTheme="majorHAnsi" w:eastAsia="Times New Roman" w:hAnsiTheme="majorHAnsi" w:cs="Times New Roman"/>
          <w:b/>
          <w:i/>
          <w:color w:val="000000"/>
          <w:sz w:val="28"/>
          <w:lang w:eastAsia="en-AU"/>
        </w:rPr>
        <w:t>Gateway Determination</w:t>
      </w:r>
      <w:r w:rsidR="00C14D5E">
        <w:rPr>
          <w:rFonts w:asciiTheme="majorHAnsi" w:eastAsia="Times New Roman" w:hAnsiTheme="majorHAnsi" w:cs="Times New Roman"/>
          <w:b/>
          <w:i/>
          <w:color w:val="000000"/>
          <w:sz w:val="28"/>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721E1D" w:rsidRDefault="00721E1D" w:rsidP="00721E1D">
      <w:pPr>
        <w:spacing w:after="0"/>
        <w:contextualSpacing/>
        <w:jc w:val="center"/>
        <w:rPr>
          <w:rFonts w:asciiTheme="majorHAnsi" w:eastAsia="Times New Roman" w:hAnsiTheme="majorHAnsi" w:cs="Times New Roman"/>
          <w:b/>
          <w:color w:val="000000"/>
          <w:sz w:val="72"/>
          <w:lang w:eastAsia="en-AU"/>
        </w:rPr>
      </w:pPr>
    </w:p>
    <w:p w:rsidR="00721E1D" w:rsidRDefault="00721E1D" w:rsidP="00721E1D">
      <w:pPr>
        <w:spacing w:after="0"/>
        <w:contextualSpacing/>
        <w:jc w:val="center"/>
        <w:rPr>
          <w:rFonts w:asciiTheme="majorHAnsi" w:eastAsia="Times New Roman" w:hAnsiTheme="majorHAnsi" w:cs="Times New Roman"/>
          <w:b/>
          <w:color w:val="000000"/>
          <w:sz w:val="72"/>
          <w:lang w:eastAsia="en-AU"/>
        </w:rPr>
      </w:pPr>
    </w:p>
    <w:p w:rsidR="00721E1D" w:rsidRDefault="00721E1D" w:rsidP="00721E1D">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Pr="007A7E44" w:rsidRDefault="00721E1D" w:rsidP="00721E1D">
      <w:pPr>
        <w:spacing w:after="0"/>
        <w:contextualSpacing/>
        <w:jc w:val="center"/>
        <w:rPr>
          <w:rFonts w:asciiTheme="majorHAnsi" w:eastAsia="Times New Roman" w:hAnsiTheme="majorHAnsi" w:cs="Times New Roman"/>
          <w:b/>
          <w:color w:val="000000"/>
          <w:sz w:val="48"/>
          <w:lang w:eastAsia="en-AU"/>
        </w:rPr>
      </w:pPr>
      <w:r w:rsidRPr="007A7E44">
        <w:rPr>
          <w:rFonts w:asciiTheme="majorHAnsi" w:eastAsia="Times New Roman" w:hAnsiTheme="majorHAnsi" w:cs="Times New Roman"/>
          <w:b/>
          <w:color w:val="000000"/>
          <w:sz w:val="48"/>
          <w:lang w:eastAsia="en-AU"/>
        </w:rPr>
        <w:t>Appendix 3</w:t>
      </w:r>
    </w:p>
    <w:p w:rsidR="00721E1D" w:rsidRPr="007A7E44" w:rsidRDefault="00721E1D" w:rsidP="00721E1D">
      <w:pPr>
        <w:spacing w:after="0"/>
        <w:contextualSpacing/>
        <w:jc w:val="center"/>
        <w:rPr>
          <w:rFonts w:asciiTheme="majorHAnsi" w:eastAsia="Times New Roman" w:hAnsiTheme="majorHAnsi" w:cs="Times New Roman"/>
          <w:b/>
          <w:color w:val="000000"/>
          <w:sz w:val="48"/>
          <w:lang w:eastAsia="en-AU"/>
        </w:rPr>
      </w:pPr>
    </w:p>
    <w:p w:rsidR="00721E1D" w:rsidRPr="008B78CD" w:rsidRDefault="00721E1D" w:rsidP="00721E1D">
      <w:pPr>
        <w:spacing w:after="0"/>
        <w:contextualSpacing/>
        <w:jc w:val="center"/>
        <w:rPr>
          <w:rFonts w:asciiTheme="majorHAnsi" w:eastAsia="Times New Roman" w:hAnsiTheme="majorHAnsi" w:cs="Times New Roman"/>
          <w:i/>
          <w:color w:val="000000"/>
          <w:sz w:val="28"/>
          <w:lang w:eastAsia="en-AU"/>
        </w:rPr>
      </w:pPr>
      <w:r w:rsidRPr="007A7E44">
        <w:rPr>
          <w:rFonts w:asciiTheme="majorHAnsi" w:eastAsia="Times New Roman" w:hAnsiTheme="majorHAnsi" w:cs="Times New Roman"/>
          <w:b/>
          <w:i/>
          <w:color w:val="000000"/>
          <w:sz w:val="28"/>
          <w:lang w:eastAsia="en-AU"/>
        </w:rPr>
        <w:t>Submissions</w:t>
      </w:r>
      <w:r w:rsidR="008B78CD">
        <w:rPr>
          <w:rFonts w:asciiTheme="majorHAnsi" w:eastAsia="Times New Roman" w:hAnsiTheme="majorHAnsi" w:cs="Times New Roman"/>
          <w:b/>
          <w:i/>
          <w:color w:val="000000"/>
          <w:sz w:val="28"/>
          <w:lang w:eastAsia="en-AU"/>
        </w:rPr>
        <w:t xml:space="preserve"> </w:t>
      </w:r>
      <w:r w:rsidR="008B78CD" w:rsidRPr="008B78CD">
        <w:rPr>
          <w:rFonts w:asciiTheme="majorHAnsi" w:eastAsia="Times New Roman" w:hAnsiTheme="majorHAnsi" w:cs="Times New Roman"/>
          <w:i/>
          <w:color w:val="000000"/>
          <w:sz w:val="28"/>
          <w:lang w:eastAsia="en-AU"/>
        </w:rPr>
        <w:t>(attached separately)</w:t>
      </w:r>
    </w:p>
    <w:p w:rsidR="00721E1D" w:rsidRPr="00721E1D" w:rsidRDefault="00721E1D" w:rsidP="00721E1D">
      <w:pPr>
        <w:spacing w:after="0"/>
        <w:contextualSpacing/>
        <w:jc w:val="center"/>
        <w:rPr>
          <w:rFonts w:asciiTheme="majorHAnsi" w:eastAsia="Times New Roman" w:hAnsiTheme="majorHAnsi" w:cs="Times New Roman"/>
          <w:b/>
          <w:color w:val="000000"/>
          <w:sz w:val="56"/>
          <w:lang w:eastAsia="en-AU"/>
        </w:rPr>
      </w:pPr>
    </w:p>
    <w:p w:rsidR="00721E1D" w:rsidRDefault="00721E1D" w:rsidP="00721E1D">
      <w:pPr>
        <w:spacing w:after="0"/>
        <w:contextualSpacing/>
        <w:jc w:val="center"/>
        <w:rPr>
          <w:rFonts w:asciiTheme="majorHAnsi" w:eastAsia="Times New Roman" w:hAnsiTheme="majorHAnsi" w:cs="Times New Roman"/>
          <w:b/>
          <w:color w:val="000000"/>
          <w:sz w:val="72"/>
          <w:lang w:eastAsia="en-AU"/>
        </w:rPr>
      </w:pPr>
    </w:p>
    <w:p w:rsidR="00721E1D" w:rsidRDefault="00721E1D" w:rsidP="00721E1D">
      <w:pPr>
        <w:spacing w:after="0"/>
        <w:contextualSpacing/>
        <w:jc w:val="center"/>
        <w:rPr>
          <w:rFonts w:asciiTheme="majorHAnsi" w:eastAsia="Times New Roman" w:hAnsiTheme="majorHAnsi" w:cs="Times New Roman"/>
          <w:b/>
          <w:color w:val="000000"/>
          <w:sz w:val="72"/>
          <w:lang w:eastAsia="en-AU"/>
        </w:rPr>
      </w:pPr>
    </w:p>
    <w:p w:rsidR="00721E1D" w:rsidRDefault="00721E1D" w:rsidP="00721E1D">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A7E44" w:rsidRDefault="007A7E44" w:rsidP="008102A2">
      <w:pPr>
        <w:spacing w:after="0"/>
        <w:contextualSpacing/>
        <w:rPr>
          <w:rFonts w:asciiTheme="majorHAnsi" w:eastAsia="Times New Roman" w:hAnsiTheme="majorHAnsi" w:cs="Arial"/>
          <w:b/>
          <w:sz w:val="40"/>
          <w:szCs w:val="22"/>
          <w:lang w:eastAsia="en-AU"/>
        </w:rPr>
      </w:pPr>
    </w:p>
    <w:p w:rsidR="00721E1D" w:rsidRDefault="00721E1D" w:rsidP="008102A2">
      <w:pPr>
        <w:spacing w:after="0"/>
        <w:contextualSpacing/>
        <w:rPr>
          <w:rFonts w:asciiTheme="majorHAnsi" w:eastAsia="Times New Roman" w:hAnsiTheme="majorHAnsi" w:cs="Arial"/>
          <w:b/>
          <w:sz w:val="40"/>
          <w:szCs w:val="22"/>
          <w:lang w:eastAsia="en-AU"/>
        </w:rPr>
      </w:pPr>
    </w:p>
    <w:p w:rsidR="00721E1D" w:rsidRPr="007A7E44" w:rsidRDefault="00721E1D" w:rsidP="00721E1D">
      <w:pPr>
        <w:spacing w:after="0"/>
        <w:contextualSpacing/>
        <w:jc w:val="center"/>
        <w:rPr>
          <w:rFonts w:asciiTheme="majorHAnsi" w:eastAsia="Times New Roman" w:hAnsiTheme="majorHAnsi" w:cs="Times New Roman"/>
          <w:b/>
          <w:color w:val="000000"/>
          <w:sz w:val="48"/>
          <w:lang w:eastAsia="en-AU"/>
        </w:rPr>
      </w:pPr>
      <w:r w:rsidRPr="007A7E44">
        <w:rPr>
          <w:rFonts w:asciiTheme="majorHAnsi" w:eastAsia="Times New Roman" w:hAnsiTheme="majorHAnsi" w:cs="Times New Roman"/>
          <w:b/>
          <w:color w:val="000000"/>
          <w:sz w:val="48"/>
          <w:lang w:eastAsia="en-AU"/>
        </w:rPr>
        <w:t>Appendix 4</w:t>
      </w:r>
    </w:p>
    <w:p w:rsidR="00721E1D" w:rsidRPr="007A7E44" w:rsidRDefault="00721E1D" w:rsidP="00721E1D">
      <w:pPr>
        <w:spacing w:after="0"/>
        <w:contextualSpacing/>
        <w:jc w:val="center"/>
        <w:rPr>
          <w:rFonts w:asciiTheme="majorHAnsi" w:eastAsia="Times New Roman" w:hAnsiTheme="majorHAnsi" w:cs="Times New Roman"/>
          <w:b/>
          <w:color w:val="000000"/>
          <w:sz w:val="44"/>
          <w:lang w:eastAsia="en-AU"/>
        </w:rPr>
      </w:pPr>
    </w:p>
    <w:p w:rsidR="00721E1D" w:rsidRPr="007A7E44" w:rsidRDefault="0088028A" w:rsidP="00626ABB">
      <w:pPr>
        <w:spacing w:after="0"/>
        <w:contextualSpacing/>
        <w:rPr>
          <w:rFonts w:asciiTheme="majorHAnsi" w:eastAsia="Times New Roman" w:hAnsiTheme="majorHAnsi" w:cs="Times New Roman"/>
          <w:b/>
          <w:color w:val="000000"/>
          <w:sz w:val="48"/>
          <w:lang w:eastAsia="en-AU"/>
        </w:rPr>
      </w:pPr>
      <w:r w:rsidRPr="00626ABB">
        <w:rPr>
          <w:rFonts w:asciiTheme="majorHAnsi" w:eastAsia="Times New Roman" w:hAnsiTheme="majorHAnsi" w:cs="Times New Roman"/>
          <w:b/>
          <w:color w:val="000000"/>
          <w:sz w:val="28"/>
          <w:lang w:eastAsia="en-AU"/>
        </w:rPr>
        <w:t xml:space="preserve">4.1 </w:t>
      </w:r>
      <w:r w:rsidR="00342BDF" w:rsidRPr="00626ABB">
        <w:rPr>
          <w:rFonts w:asciiTheme="majorHAnsi" w:eastAsia="Times New Roman" w:hAnsiTheme="majorHAnsi" w:cs="Times New Roman"/>
          <w:b/>
          <w:color w:val="000000"/>
          <w:sz w:val="28"/>
          <w:lang w:eastAsia="en-AU"/>
        </w:rPr>
        <w:t>Preliminary concept lot layout</w:t>
      </w:r>
      <w:r w:rsidR="00C14D5E">
        <w:rPr>
          <w:rFonts w:asciiTheme="majorHAnsi" w:eastAsia="Times New Roman" w:hAnsiTheme="majorHAnsi" w:cs="Times New Roman"/>
          <w:b/>
          <w:i/>
          <w:color w:val="000000"/>
          <w:sz w:val="28"/>
          <w:lang w:eastAsia="en-AU"/>
        </w:rPr>
        <w:t xml:space="preserve"> </w:t>
      </w:r>
      <w:r w:rsidR="00C14D5E" w:rsidRPr="00B218B7">
        <w:rPr>
          <w:rFonts w:asciiTheme="majorHAnsi" w:eastAsia="Times New Roman" w:hAnsiTheme="majorHAnsi" w:cs="Times New Roman"/>
          <w:i/>
          <w:color w:val="000000"/>
          <w:sz w:val="22"/>
          <w:szCs w:val="22"/>
          <w:lang w:eastAsia="en-AU"/>
        </w:rPr>
        <w:t>(attached separately)</w:t>
      </w:r>
    </w:p>
    <w:p w:rsidR="007A7E44" w:rsidRPr="007A7E44" w:rsidRDefault="007A7E44" w:rsidP="00626ABB">
      <w:pPr>
        <w:spacing w:before="240"/>
        <w:contextualSpacing/>
        <w:rPr>
          <w:rFonts w:asciiTheme="majorHAnsi" w:eastAsia="Times New Roman" w:hAnsiTheme="majorHAnsi" w:cs="Arial"/>
          <w:b/>
          <w:sz w:val="28"/>
          <w:szCs w:val="22"/>
          <w:u w:val="single"/>
          <w:lang w:eastAsia="en-AU"/>
        </w:rPr>
      </w:pPr>
    </w:p>
    <w:p w:rsidR="007A7E44" w:rsidRPr="0088028A" w:rsidRDefault="0088028A" w:rsidP="0088028A">
      <w:pPr>
        <w:pStyle w:val="ListParagraph"/>
        <w:numPr>
          <w:ilvl w:val="1"/>
          <w:numId w:val="46"/>
        </w:numPr>
        <w:spacing w:after="0" w:line="600" w:lineRule="auto"/>
        <w:rPr>
          <w:rFonts w:asciiTheme="majorHAnsi" w:eastAsia="Times New Roman" w:hAnsiTheme="majorHAnsi" w:cs="Arial"/>
          <w:b/>
          <w:sz w:val="28"/>
          <w:szCs w:val="22"/>
          <w:lang w:eastAsia="en-AU"/>
        </w:rPr>
      </w:pPr>
      <w:r>
        <w:rPr>
          <w:rFonts w:asciiTheme="majorHAnsi" w:eastAsia="Times New Roman" w:hAnsiTheme="majorHAnsi" w:cs="Arial"/>
          <w:b/>
          <w:sz w:val="28"/>
          <w:szCs w:val="22"/>
          <w:lang w:eastAsia="en-AU"/>
        </w:rPr>
        <w:t xml:space="preserve">  </w:t>
      </w:r>
      <w:r w:rsidR="007A7E44" w:rsidRPr="0088028A">
        <w:rPr>
          <w:rFonts w:asciiTheme="majorHAnsi" w:eastAsia="Times New Roman" w:hAnsiTheme="majorHAnsi" w:cs="Arial"/>
          <w:b/>
          <w:sz w:val="28"/>
          <w:szCs w:val="22"/>
          <w:lang w:eastAsia="en-AU"/>
        </w:rPr>
        <w:t xml:space="preserve">Preliminary Aboriginal Heritage Assessment </w:t>
      </w:r>
      <w:r w:rsidR="00626ABB" w:rsidRPr="00B218B7">
        <w:rPr>
          <w:rFonts w:asciiTheme="majorHAnsi" w:eastAsia="Times New Roman" w:hAnsiTheme="majorHAnsi" w:cs="Times New Roman"/>
          <w:i/>
          <w:color w:val="000000"/>
          <w:sz w:val="22"/>
          <w:szCs w:val="22"/>
          <w:lang w:eastAsia="en-AU"/>
        </w:rPr>
        <w:t>(attached separately)</w:t>
      </w:r>
    </w:p>
    <w:p w:rsidR="007A7E44" w:rsidRPr="0088028A" w:rsidRDefault="0088028A" w:rsidP="0088028A">
      <w:pPr>
        <w:pStyle w:val="ListParagraph"/>
        <w:numPr>
          <w:ilvl w:val="1"/>
          <w:numId w:val="46"/>
        </w:numPr>
        <w:spacing w:after="0" w:line="600" w:lineRule="auto"/>
        <w:rPr>
          <w:rFonts w:asciiTheme="majorHAnsi" w:eastAsia="Times New Roman" w:hAnsiTheme="majorHAnsi" w:cs="Arial"/>
          <w:b/>
          <w:sz w:val="28"/>
          <w:szCs w:val="22"/>
          <w:lang w:eastAsia="en-AU"/>
        </w:rPr>
      </w:pPr>
      <w:r>
        <w:rPr>
          <w:rFonts w:asciiTheme="majorHAnsi" w:eastAsia="Times New Roman" w:hAnsiTheme="majorHAnsi" w:cs="Arial"/>
          <w:b/>
          <w:sz w:val="28"/>
          <w:szCs w:val="22"/>
          <w:lang w:eastAsia="en-AU"/>
        </w:rPr>
        <w:t xml:space="preserve">   </w:t>
      </w:r>
      <w:r w:rsidR="007A7E44" w:rsidRPr="0088028A">
        <w:rPr>
          <w:rFonts w:asciiTheme="majorHAnsi" w:eastAsia="Times New Roman" w:hAnsiTheme="majorHAnsi" w:cs="Arial"/>
          <w:b/>
          <w:sz w:val="28"/>
          <w:szCs w:val="22"/>
          <w:lang w:eastAsia="en-AU"/>
        </w:rPr>
        <w:t xml:space="preserve">Preliminary Site Contamination Assessment </w:t>
      </w:r>
      <w:r w:rsidR="00626ABB" w:rsidRPr="00B218B7">
        <w:rPr>
          <w:rFonts w:asciiTheme="majorHAnsi" w:eastAsia="Times New Roman" w:hAnsiTheme="majorHAnsi" w:cs="Times New Roman"/>
          <w:i/>
          <w:color w:val="000000"/>
          <w:sz w:val="22"/>
          <w:szCs w:val="22"/>
          <w:lang w:eastAsia="en-AU"/>
        </w:rPr>
        <w:t>(attached separately)</w:t>
      </w:r>
    </w:p>
    <w:p w:rsidR="007A7E44" w:rsidRPr="0088028A" w:rsidRDefault="0088028A" w:rsidP="0088028A">
      <w:pPr>
        <w:pStyle w:val="ListParagraph"/>
        <w:numPr>
          <w:ilvl w:val="1"/>
          <w:numId w:val="46"/>
        </w:numPr>
        <w:spacing w:after="0" w:line="600" w:lineRule="auto"/>
        <w:rPr>
          <w:rFonts w:asciiTheme="majorHAnsi" w:eastAsia="Times New Roman" w:hAnsiTheme="majorHAnsi" w:cs="Arial"/>
          <w:i/>
          <w:sz w:val="28"/>
          <w:szCs w:val="22"/>
          <w:lang w:eastAsia="en-AU"/>
        </w:rPr>
      </w:pPr>
      <w:r>
        <w:rPr>
          <w:rFonts w:asciiTheme="majorHAnsi" w:eastAsia="Times New Roman" w:hAnsiTheme="majorHAnsi" w:cs="Arial"/>
          <w:b/>
          <w:sz w:val="28"/>
          <w:szCs w:val="22"/>
          <w:lang w:eastAsia="en-AU"/>
        </w:rPr>
        <w:t xml:space="preserve">   </w:t>
      </w:r>
      <w:r w:rsidR="007A7E44" w:rsidRPr="0088028A">
        <w:rPr>
          <w:rFonts w:asciiTheme="majorHAnsi" w:eastAsia="Times New Roman" w:hAnsiTheme="majorHAnsi" w:cs="Arial"/>
          <w:b/>
          <w:sz w:val="28"/>
          <w:szCs w:val="22"/>
          <w:lang w:eastAsia="en-AU"/>
        </w:rPr>
        <w:t xml:space="preserve">Engineering Services Report </w:t>
      </w:r>
      <w:r w:rsidR="00626ABB" w:rsidRPr="00B218B7">
        <w:rPr>
          <w:rFonts w:asciiTheme="majorHAnsi" w:eastAsia="Times New Roman" w:hAnsiTheme="majorHAnsi" w:cs="Times New Roman"/>
          <w:i/>
          <w:color w:val="000000"/>
          <w:sz w:val="22"/>
          <w:szCs w:val="22"/>
          <w:lang w:eastAsia="en-AU"/>
        </w:rPr>
        <w:t>(attached separately)</w:t>
      </w:r>
    </w:p>
    <w:p w:rsidR="007A7E44" w:rsidRDefault="007A7E44" w:rsidP="008102A2">
      <w:pPr>
        <w:spacing w:after="0"/>
        <w:contextualSpacing/>
        <w:rPr>
          <w:rFonts w:asciiTheme="majorHAnsi" w:eastAsia="Times New Roman" w:hAnsiTheme="majorHAnsi" w:cs="Arial"/>
          <w:b/>
          <w:sz w:val="40"/>
          <w:szCs w:val="22"/>
          <w:lang w:eastAsia="en-AU"/>
        </w:rPr>
      </w:pPr>
    </w:p>
    <w:sectPr w:rsidR="007A7E44" w:rsidSect="00251EC8">
      <w:pgSz w:w="11900" w:h="16840"/>
      <w:pgMar w:top="1418" w:right="1701" w:bottom="1418" w:left="170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85D" w:rsidRDefault="0033085D">
      <w:pPr>
        <w:spacing w:after="0"/>
      </w:pPr>
      <w:r>
        <w:separator/>
      </w:r>
    </w:p>
  </w:endnote>
  <w:endnote w:type="continuationSeparator" w:id="0">
    <w:p w:rsidR="0033085D" w:rsidRDefault="003308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IN-Light">
    <w:charset w:val="00"/>
    <w:family w:val="auto"/>
    <w:pitch w:val="variable"/>
    <w:sig w:usb0="00000003" w:usb1="00000000" w:usb2="00000000" w:usb3="00000000" w:csb0="00000001" w:csb1="00000000"/>
  </w:font>
  <w:font w:name="Optima-Regular">
    <w:altName w:val="Optima"/>
    <w:panose1 w:val="00000000000000000000"/>
    <w:charset w:val="4D"/>
    <w:family w:val="auto"/>
    <w:notTrueType/>
    <w:pitch w:val="default"/>
    <w:sig w:usb0="00000003" w:usb1="00000000" w:usb2="00000000" w:usb3="00000000" w:csb0="00000001" w:csb1="00000000"/>
  </w:font>
  <w:font w:name="DIN-Bold">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Black">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MBembo-Bold">
    <w:altName w:val="Cambria"/>
    <w:panose1 w:val="00000000000000000000"/>
    <w:charset w:val="4D"/>
    <w:family w:val="auto"/>
    <w:notTrueType/>
    <w:pitch w:val="default"/>
    <w:sig w:usb0="00000003" w:usb1="00000000" w:usb2="00000000" w:usb3="00000000" w:csb0="00000001" w:csb1="00000000"/>
  </w:font>
  <w:font w:name="MBembo">
    <w:altName w:val="Cambria"/>
    <w:panose1 w:val="00000000000000000000"/>
    <w:charset w:val="4D"/>
    <w:family w:val="auto"/>
    <w:notTrueType/>
    <w:pitch w:val="default"/>
    <w:sig w:usb0="00000003" w:usb1="00000000" w:usb2="00000000" w:usb3="00000000" w:csb0="00000001" w:csb1="00000000"/>
  </w:font>
  <w:font w:name="MBembo-SemiBold">
    <w:altName w:val="M SB Bembo Semi Bold"/>
    <w:panose1 w:val="00000000000000000000"/>
    <w:charset w:val="4D"/>
    <w:family w:val="auto"/>
    <w:notTrueType/>
    <w:pitch w:val="default"/>
    <w:sig w:usb0="00000003" w:usb1="00000000" w:usb2="00000000" w:usb3="00000000" w:csb0="00000001" w:csb1="00000000"/>
  </w:font>
  <w:font w:name="MBembo-SemiBoldItalic">
    <w:altName w:val="M SB Bembo Semi Bold"/>
    <w:panose1 w:val="00000000000000000000"/>
    <w:charset w:val="4D"/>
    <w:family w:val="auto"/>
    <w:notTrueType/>
    <w:pitch w:val="default"/>
    <w:sig w:usb0="00000003" w:usb1="00000000" w:usb2="00000000" w:usb3="00000000" w:csb0="00000001" w:csb1="00000000"/>
  </w:font>
  <w:font w:name="MBembo-Italic">
    <w:altName w:val="Cambria"/>
    <w:panose1 w:val="00000000000000000000"/>
    <w:charset w:val="4D"/>
    <w:family w:val="auto"/>
    <w:notTrueType/>
    <w:pitch w:val="default"/>
    <w:sig w:usb0="00000003" w:usb1="00000000" w:usb2="00000000" w:usb3="00000000" w:csb0="00000001" w:csb1="00000000"/>
  </w:font>
  <w:font w:name="MBembo-BoldItalic">
    <w:altName w:val="Cambria"/>
    <w:panose1 w:val="00000000000000000000"/>
    <w:charset w:val="4D"/>
    <w:family w:val="auto"/>
    <w:notTrueType/>
    <w:pitch w:val="default"/>
    <w:sig w:usb0="00000003" w:usb1="00000000" w:usb2="00000000" w:usb3="00000000" w:csb0="00000001" w:csb1="00000000"/>
  </w:font>
  <w:font w:name="Goudy">
    <w:altName w:val="Cambria"/>
    <w:panose1 w:val="00000000000000000000"/>
    <w:charset w:val="00"/>
    <w:family w:val="roman"/>
    <w:notTrueType/>
    <w:pitch w:val="variable"/>
    <w:sig w:usb0="00000003" w:usb1="00000000" w:usb2="00000000" w:usb3="00000000" w:csb0="00000001" w:csb1="00000000"/>
  </w:font>
  <w:font w:name="Goudy-ExtraBold">
    <w:altName w:val="Cambria"/>
    <w:panose1 w:val="00000000000000000000"/>
    <w:charset w:val="4D"/>
    <w:family w:val="auto"/>
    <w:notTrueType/>
    <w:pitch w:val="default"/>
    <w:sig w:usb0="00000003" w:usb1="00000000" w:usb2="00000000" w:usb3="00000000" w:csb0="00000001" w:csb1="00000000"/>
  </w:font>
  <w:font w:name="Times 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udyOldStyleT-Regular">
    <w:altName w:val="Goudy Old Style"/>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A5" w:rsidRDefault="00010BA5" w:rsidP="000607BC">
    <w:pPr>
      <w:pStyle w:val="Footer"/>
      <w:framePr w:wrap="around" w:vAnchor="text" w:hAnchor="margin" w:xAlign="right" w:y="1"/>
      <w:rPr>
        <w:rStyle w:val="PageNumber"/>
        <w:rFonts w:asciiTheme="minorHAnsi" w:eastAsiaTheme="minorHAnsi" w:hAnsiTheme="minorHAnsi" w:cstheme="minorBidi"/>
        <w:sz w:val="24"/>
        <w:szCs w:val="24"/>
        <w:lang w:eastAsia="en-US"/>
      </w:rPr>
    </w:pPr>
    <w:r>
      <w:rPr>
        <w:rStyle w:val="PageNumber"/>
      </w:rPr>
      <w:fldChar w:fldCharType="begin"/>
    </w:r>
    <w:r>
      <w:rPr>
        <w:rStyle w:val="PageNumber"/>
      </w:rPr>
      <w:instrText xml:space="preserve">PAGE  </w:instrText>
    </w:r>
    <w:r>
      <w:rPr>
        <w:rStyle w:val="PageNumber"/>
      </w:rPr>
      <w:fldChar w:fldCharType="end"/>
    </w:r>
  </w:p>
  <w:p w:rsidR="00010BA5" w:rsidRDefault="00010BA5" w:rsidP="000607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A5" w:rsidRPr="000607BC" w:rsidRDefault="00010BA5" w:rsidP="000607BC">
    <w:pPr>
      <w:pStyle w:val="Footer"/>
      <w:framePr w:wrap="around" w:vAnchor="text" w:hAnchor="margin" w:xAlign="right" w:y="199"/>
      <w:rPr>
        <w:rStyle w:val="PageNumber"/>
        <w:rFonts w:asciiTheme="minorHAnsi" w:eastAsiaTheme="minorHAnsi" w:hAnsiTheme="minorHAnsi" w:cstheme="minorBidi"/>
        <w:sz w:val="24"/>
        <w:szCs w:val="24"/>
        <w:lang w:eastAsia="en-US"/>
      </w:rPr>
    </w:pPr>
    <w:r w:rsidRPr="000607BC">
      <w:rPr>
        <w:rStyle w:val="PageNumber"/>
        <w:rFonts w:ascii="Trebuchet MS" w:hAnsi="Trebuchet MS"/>
        <w:b/>
        <w:color w:val="808080" w:themeColor="background1" w:themeShade="80"/>
        <w:sz w:val="14"/>
      </w:rPr>
      <w:fldChar w:fldCharType="begin"/>
    </w:r>
    <w:r w:rsidRPr="000607BC">
      <w:rPr>
        <w:rStyle w:val="PageNumber"/>
        <w:rFonts w:ascii="Trebuchet MS" w:hAnsi="Trebuchet MS"/>
        <w:b/>
        <w:color w:val="808080" w:themeColor="background1" w:themeShade="80"/>
        <w:sz w:val="14"/>
      </w:rPr>
      <w:instrText xml:space="preserve">PAGE  </w:instrText>
    </w:r>
    <w:r w:rsidRPr="000607BC">
      <w:rPr>
        <w:rStyle w:val="PageNumber"/>
        <w:rFonts w:ascii="Trebuchet MS" w:hAnsi="Trebuchet MS"/>
        <w:b/>
        <w:color w:val="808080" w:themeColor="background1" w:themeShade="80"/>
        <w:sz w:val="14"/>
      </w:rPr>
      <w:fldChar w:fldCharType="separate"/>
    </w:r>
    <w:r w:rsidR="002E1EF7">
      <w:rPr>
        <w:rStyle w:val="PageNumber"/>
        <w:rFonts w:ascii="Trebuchet MS" w:hAnsi="Trebuchet MS"/>
        <w:b/>
        <w:noProof/>
        <w:color w:val="808080" w:themeColor="background1" w:themeShade="80"/>
        <w:sz w:val="14"/>
      </w:rPr>
      <w:t>37</w:t>
    </w:r>
    <w:r w:rsidRPr="000607BC">
      <w:rPr>
        <w:rStyle w:val="PageNumber"/>
        <w:rFonts w:ascii="Trebuchet MS" w:hAnsi="Trebuchet MS"/>
        <w:b/>
        <w:color w:val="808080" w:themeColor="background1" w:themeShade="80"/>
        <w:sz w:val="14"/>
      </w:rPr>
      <w:fldChar w:fldCharType="end"/>
    </w:r>
  </w:p>
  <w:p w:rsidR="00010BA5" w:rsidRPr="000607BC" w:rsidRDefault="00010BA5" w:rsidP="000607BC">
    <w:pPr>
      <w:pStyle w:val="Footer"/>
      <w:pBdr>
        <w:top w:val="single" w:sz="4" w:space="8" w:color="A6A6A6" w:themeColor="background1" w:themeShade="A6"/>
      </w:pBdr>
      <w:rPr>
        <w:rFonts w:ascii="Trebuchet MS" w:hAnsi="Trebuchet MS"/>
        <w:i/>
        <w:color w:val="A6A6A6" w:themeColor="background1" w:themeShade="A6"/>
        <w:sz w:val="14"/>
      </w:rPr>
    </w:pPr>
    <w:r w:rsidRPr="00950E17">
      <w:rPr>
        <w:rFonts w:ascii="Trebuchet MS" w:hAnsi="Trebuchet MS"/>
        <w:i/>
        <w:color w:val="A6A6A6" w:themeColor="background1" w:themeShade="A6"/>
        <w:sz w:val="14"/>
      </w:rPr>
      <w:t xml:space="preserve">Planning Proposal </w:t>
    </w:r>
    <w:r>
      <w:rPr>
        <w:rFonts w:ascii="Trebuchet MS" w:hAnsi="Trebuchet MS"/>
        <w:i/>
        <w:color w:val="A6A6A6" w:themeColor="background1" w:themeShade="A6"/>
        <w:sz w:val="14"/>
      </w:rPr>
      <w:t>—</w:t>
    </w:r>
    <w:r w:rsidRPr="00950E17">
      <w:rPr>
        <w:rFonts w:ascii="Trebuchet MS" w:hAnsi="Trebuchet MS"/>
        <w:i/>
        <w:color w:val="A6A6A6" w:themeColor="background1" w:themeShade="A6"/>
        <w:sz w:val="14"/>
      </w:rPr>
      <w:t xml:space="preserve"> </w:t>
    </w:r>
    <w:r w:rsidRPr="00A03B5B">
      <w:rPr>
        <w:rFonts w:ascii="Trebuchet MS" w:hAnsi="Trebuchet MS"/>
        <w:i/>
        <w:color w:val="A6A6A6" w:themeColor="background1" w:themeShade="A6"/>
        <w:sz w:val="14"/>
      </w:rPr>
      <w:t>‘Waebron’ Yarrawa R</w:t>
    </w:r>
    <w:r w:rsidR="00964F02">
      <w:rPr>
        <w:rFonts w:ascii="Trebuchet MS" w:hAnsi="Trebuchet MS"/>
        <w:i/>
        <w:color w:val="A6A6A6" w:themeColor="background1" w:themeShade="A6"/>
        <w:sz w:val="14"/>
      </w:rPr>
      <w:t>oa</w:t>
    </w:r>
    <w:r w:rsidRPr="00A03B5B">
      <w:rPr>
        <w:rFonts w:ascii="Trebuchet MS" w:hAnsi="Trebuchet MS"/>
        <w:i/>
        <w:color w:val="A6A6A6" w:themeColor="background1" w:themeShade="A6"/>
        <w:sz w:val="14"/>
      </w:rPr>
      <w:t>d, Denman</w:t>
    </w:r>
    <w:r>
      <w:rPr>
        <w:rFonts w:ascii="Trebuchet MS" w:hAnsi="Trebuchet MS"/>
        <w:i/>
        <w:color w:val="A6A6A6" w:themeColor="background1" w:themeShade="A6"/>
        <w:sz w:val="14"/>
      </w:rPr>
      <w:t xml:space="preserve"> – </w:t>
    </w:r>
    <w:r w:rsidR="00964F02">
      <w:rPr>
        <w:rFonts w:ascii="Trebuchet MS" w:hAnsi="Trebuchet MS"/>
        <w:i/>
        <w:color w:val="A6A6A6" w:themeColor="background1" w:themeShade="A6"/>
        <w:sz w:val="14"/>
      </w:rPr>
      <w:t xml:space="preserve">December </w:t>
    </w:r>
    <w:r>
      <w:rPr>
        <w:rFonts w:ascii="Trebuchet MS" w:hAnsi="Trebuchet MS"/>
        <w:i/>
        <w:color w:val="A6A6A6" w:themeColor="background1" w:themeShade="A6"/>
        <w:sz w:val="14"/>
      </w:rPr>
      <w:t xml:space="preserve">2015 (Rev </w:t>
    </w:r>
    <w:r w:rsidR="00964F02">
      <w:rPr>
        <w:rFonts w:ascii="Trebuchet MS" w:hAnsi="Trebuchet MS"/>
        <w:i/>
        <w:color w:val="A6A6A6" w:themeColor="background1" w:themeShade="A6"/>
        <w:sz w:val="14"/>
      </w:rPr>
      <w:t>4</w:t>
    </w:r>
    <w:r>
      <w:rPr>
        <w:rFonts w:ascii="Trebuchet MS" w:hAnsi="Trebuchet MS"/>
        <w:i/>
        <w:color w:val="A6A6A6" w:themeColor="background1" w:themeShade="A6"/>
        <w:sz w:val="1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A5" w:rsidRPr="000607BC" w:rsidRDefault="00010BA5" w:rsidP="000607BC">
    <w:pPr>
      <w:pStyle w:val="Footer"/>
      <w:framePr w:h="164" w:hRule="exact" w:vSpace="159" w:wrap="around" w:vAnchor="text" w:hAnchor="page" w:x="9980" w:y="199"/>
      <w:rPr>
        <w:rStyle w:val="PageNumber"/>
        <w:rFonts w:asciiTheme="minorHAnsi" w:eastAsiaTheme="minorHAnsi" w:hAnsiTheme="minorHAnsi" w:cstheme="minorBidi"/>
        <w:sz w:val="24"/>
        <w:szCs w:val="24"/>
        <w:lang w:eastAsia="en-US"/>
      </w:rPr>
    </w:pPr>
    <w:r w:rsidRPr="000607BC">
      <w:rPr>
        <w:rStyle w:val="PageNumber"/>
        <w:rFonts w:ascii="Trebuchet MS" w:hAnsi="Trebuchet MS"/>
        <w:b/>
        <w:color w:val="808080" w:themeColor="background1" w:themeShade="80"/>
        <w:sz w:val="14"/>
      </w:rPr>
      <w:fldChar w:fldCharType="begin"/>
    </w:r>
    <w:r w:rsidRPr="000607BC">
      <w:rPr>
        <w:rStyle w:val="PageNumber"/>
        <w:rFonts w:ascii="Trebuchet MS" w:hAnsi="Trebuchet MS"/>
        <w:b/>
        <w:color w:val="808080" w:themeColor="background1" w:themeShade="80"/>
        <w:sz w:val="14"/>
      </w:rPr>
      <w:instrText xml:space="preserve">PAGE  </w:instrText>
    </w:r>
    <w:r w:rsidRPr="000607BC">
      <w:rPr>
        <w:rStyle w:val="PageNumber"/>
        <w:rFonts w:ascii="Trebuchet MS" w:hAnsi="Trebuchet MS"/>
        <w:b/>
        <w:color w:val="808080" w:themeColor="background1" w:themeShade="80"/>
        <w:sz w:val="14"/>
      </w:rPr>
      <w:fldChar w:fldCharType="separate"/>
    </w:r>
    <w:r w:rsidR="002E1EF7">
      <w:rPr>
        <w:rStyle w:val="PageNumber"/>
        <w:rFonts w:ascii="Trebuchet MS" w:hAnsi="Trebuchet MS"/>
        <w:b/>
        <w:noProof/>
        <w:color w:val="808080" w:themeColor="background1" w:themeShade="80"/>
        <w:sz w:val="14"/>
      </w:rPr>
      <w:t>1</w:t>
    </w:r>
    <w:r w:rsidRPr="000607BC">
      <w:rPr>
        <w:rStyle w:val="PageNumber"/>
        <w:rFonts w:ascii="Trebuchet MS" w:hAnsi="Trebuchet MS"/>
        <w:b/>
        <w:color w:val="808080" w:themeColor="background1" w:themeShade="80"/>
        <w:sz w:val="14"/>
      </w:rPr>
      <w:fldChar w:fldCharType="end"/>
    </w:r>
  </w:p>
  <w:p w:rsidR="00010BA5" w:rsidRPr="00950E17" w:rsidRDefault="00010BA5" w:rsidP="000607BC">
    <w:pPr>
      <w:pStyle w:val="Footer"/>
      <w:pBdr>
        <w:top w:val="single" w:sz="4" w:space="8" w:color="A6A6A6" w:themeColor="background1" w:themeShade="A6"/>
      </w:pBdr>
      <w:rPr>
        <w:rFonts w:ascii="Trebuchet MS" w:hAnsi="Trebuchet MS"/>
        <w:i/>
        <w:color w:val="A6A6A6" w:themeColor="background1" w:themeShade="A6"/>
        <w:sz w:val="14"/>
      </w:rPr>
    </w:pPr>
    <w:r w:rsidRPr="00950E17">
      <w:rPr>
        <w:rFonts w:ascii="Trebuchet MS" w:hAnsi="Trebuchet MS"/>
        <w:i/>
        <w:color w:val="A6A6A6" w:themeColor="background1" w:themeShade="A6"/>
        <w:sz w:val="14"/>
      </w:rPr>
      <w:t xml:space="preserve">Planning Proposal </w:t>
    </w:r>
    <w:r>
      <w:rPr>
        <w:rFonts w:ascii="Trebuchet MS" w:hAnsi="Trebuchet MS"/>
        <w:i/>
        <w:color w:val="A6A6A6" w:themeColor="background1" w:themeShade="A6"/>
        <w:sz w:val="14"/>
      </w:rPr>
      <w:t>—</w:t>
    </w:r>
    <w:r w:rsidRPr="00950E17">
      <w:rPr>
        <w:rFonts w:ascii="Trebuchet MS" w:hAnsi="Trebuchet MS"/>
        <w:i/>
        <w:color w:val="A6A6A6" w:themeColor="background1" w:themeShade="A6"/>
        <w:sz w:val="14"/>
      </w:rPr>
      <w:t xml:space="preserve"> </w:t>
    </w:r>
    <w:r>
      <w:rPr>
        <w:rFonts w:ascii="Trebuchet MS" w:hAnsi="Trebuchet MS"/>
        <w:i/>
        <w:color w:val="A6A6A6" w:themeColor="background1" w:themeShade="A6"/>
        <w:sz w:val="14"/>
      </w:rPr>
      <w:t xml:space="preserve">‘Waebron’ </w:t>
    </w:r>
    <w:r w:rsidRPr="00950E17">
      <w:rPr>
        <w:rFonts w:ascii="Trebuchet MS" w:hAnsi="Trebuchet MS"/>
        <w:i/>
        <w:color w:val="A6A6A6" w:themeColor="background1" w:themeShade="A6"/>
        <w:sz w:val="14"/>
      </w:rPr>
      <w:t>Yarrawa R</w:t>
    </w:r>
    <w:r w:rsidR="00964F02">
      <w:rPr>
        <w:rFonts w:ascii="Trebuchet MS" w:hAnsi="Trebuchet MS"/>
        <w:i/>
        <w:color w:val="A6A6A6" w:themeColor="background1" w:themeShade="A6"/>
        <w:sz w:val="14"/>
      </w:rPr>
      <w:t>oad</w:t>
    </w:r>
    <w:r w:rsidRPr="00950E17">
      <w:rPr>
        <w:rFonts w:ascii="Trebuchet MS" w:hAnsi="Trebuchet MS"/>
        <w:i/>
        <w:color w:val="A6A6A6" w:themeColor="background1" w:themeShade="A6"/>
        <w:sz w:val="14"/>
      </w:rPr>
      <w:t>, Denman</w:t>
    </w:r>
    <w:r>
      <w:rPr>
        <w:rFonts w:ascii="Trebuchet MS" w:hAnsi="Trebuchet MS"/>
        <w:i/>
        <w:color w:val="A6A6A6" w:themeColor="background1" w:themeShade="A6"/>
        <w:sz w:val="14"/>
      </w:rPr>
      <w:t xml:space="preserve"> –</w:t>
    </w:r>
    <w:r w:rsidR="00964F02">
      <w:rPr>
        <w:rFonts w:ascii="Trebuchet MS" w:hAnsi="Trebuchet MS"/>
        <w:i/>
        <w:color w:val="A6A6A6" w:themeColor="background1" w:themeShade="A6"/>
        <w:sz w:val="14"/>
      </w:rPr>
      <w:t xml:space="preserve"> December </w:t>
    </w:r>
    <w:r>
      <w:rPr>
        <w:rFonts w:ascii="Trebuchet MS" w:hAnsi="Trebuchet MS"/>
        <w:i/>
        <w:color w:val="A6A6A6" w:themeColor="background1" w:themeShade="A6"/>
        <w:sz w:val="14"/>
      </w:rPr>
      <w:t xml:space="preserve">2015 (Rev </w:t>
    </w:r>
    <w:r w:rsidR="00964F02">
      <w:rPr>
        <w:rFonts w:ascii="Trebuchet MS" w:hAnsi="Trebuchet MS"/>
        <w:i/>
        <w:color w:val="A6A6A6" w:themeColor="background1" w:themeShade="A6"/>
        <w:sz w:val="14"/>
      </w:rPr>
      <w:t>4</w:t>
    </w:r>
    <w:r>
      <w:rPr>
        <w:rFonts w:ascii="Trebuchet MS" w:hAnsi="Trebuchet MS"/>
        <w:i/>
        <w:color w:val="A6A6A6" w:themeColor="background1" w:themeShade="A6"/>
        <w:sz w:val="1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85D" w:rsidRDefault="0033085D">
      <w:pPr>
        <w:spacing w:after="0"/>
      </w:pPr>
      <w:r>
        <w:separator/>
      </w:r>
    </w:p>
  </w:footnote>
  <w:footnote w:type="continuationSeparator" w:id="0">
    <w:p w:rsidR="0033085D" w:rsidRDefault="0033085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4584"/>
    <w:multiLevelType w:val="hybridMultilevel"/>
    <w:tmpl w:val="148ED670"/>
    <w:lvl w:ilvl="0" w:tplc="A8A429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46626C"/>
    <w:multiLevelType w:val="hybridMultilevel"/>
    <w:tmpl w:val="C902C45E"/>
    <w:lvl w:ilvl="0" w:tplc="A5F2AD70">
      <w:start w:val="1"/>
      <w:numFmt w:val="decimal"/>
      <w:lvlText w:val="3.3.%1."/>
      <w:lvlJc w:val="left"/>
      <w:pPr>
        <w:ind w:left="720" w:hanging="360"/>
      </w:pPr>
      <w:rPr>
        <w:rFonts w:hint="default"/>
      </w:rPr>
    </w:lvl>
    <w:lvl w:ilvl="1" w:tplc="0C090019" w:tentative="1">
      <w:start w:val="1"/>
      <w:numFmt w:val="lowerLetter"/>
      <w:lvlText w:val="%2."/>
      <w:lvlJc w:val="left"/>
      <w:pPr>
        <w:ind w:left="1440" w:hanging="360"/>
      </w:pPr>
    </w:lvl>
    <w:lvl w:ilvl="2" w:tplc="EDD6D19C">
      <w:start w:val="1"/>
      <w:numFmt w:val="decimal"/>
      <w:lvlText w:val="3.3.%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0344B4B"/>
    <w:multiLevelType w:val="hybridMultilevel"/>
    <w:tmpl w:val="893AF1DE"/>
    <w:lvl w:ilvl="0" w:tplc="F0162CCE">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2E725F"/>
    <w:multiLevelType w:val="multilevel"/>
    <w:tmpl w:val="B89230F8"/>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B775C5"/>
    <w:multiLevelType w:val="hybridMultilevel"/>
    <w:tmpl w:val="B75A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B3411"/>
    <w:multiLevelType w:val="hybridMultilevel"/>
    <w:tmpl w:val="D514DE06"/>
    <w:lvl w:ilvl="0" w:tplc="F93C163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58D74DF"/>
    <w:multiLevelType w:val="singleLevel"/>
    <w:tmpl w:val="B9FA5B6E"/>
    <w:lvl w:ilvl="0">
      <w:start w:val="3"/>
      <w:numFmt w:val="lowerRoman"/>
      <w:lvlText w:val="%1)"/>
      <w:lvlJc w:val="left"/>
      <w:pPr>
        <w:tabs>
          <w:tab w:val="num" w:pos="1425"/>
        </w:tabs>
        <w:ind w:left="1425" w:hanging="720"/>
      </w:pPr>
      <w:rPr>
        <w:rFonts w:hint="default"/>
        <w:b/>
      </w:rPr>
    </w:lvl>
  </w:abstractNum>
  <w:abstractNum w:abstractNumId="7">
    <w:nsid w:val="1A0E3BF3"/>
    <w:multiLevelType w:val="hybridMultilevel"/>
    <w:tmpl w:val="49DA9D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E02FAF"/>
    <w:multiLevelType w:val="hybridMultilevel"/>
    <w:tmpl w:val="8AE29A7E"/>
    <w:lvl w:ilvl="0" w:tplc="470AD7CE">
      <w:start w:val="1"/>
      <w:numFmt w:val="decimal"/>
      <w:lvlText w:val="4.%1."/>
      <w:lvlJc w:val="left"/>
      <w:pPr>
        <w:ind w:left="360" w:hanging="360"/>
      </w:pPr>
      <w:rPr>
        <w:rFonts w:hint="default"/>
        <w:b/>
        <w:i w:val="0"/>
      </w:rPr>
    </w:lvl>
    <w:lvl w:ilvl="1" w:tplc="101EA44A">
      <w:start w:val="1"/>
      <w:numFmt w:val="decimal"/>
      <w:lvlText w:val="4.%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71F791A"/>
    <w:multiLevelType w:val="hybridMultilevel"/>
    <w:tmpl w:val="569C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C32D77"/>
    <w:multiLevelType w:val="hybridMultilevel"/>
    <w:tmpl w:val="E3362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DA68C5"/>
    <w:multiLevelType w:val="hybridMultilevel"/>
    <w:tmpl w:val="18F23A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ED97435"/>
    <w:multiLevelType w:val="hybridMultilevel"/>
    <w:tmpl w:val="E828C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95734D"/>
    <w:multiLevelType w:val="hybridMultilevel"/>
    <w:tmpl w:val="678CD802"/>
    <w:lvl w:ilvl="0" w:tplc="0FF82166">
      <w:numFmt w:val="bullet"/>
      <w:lvlText w:val="·"/>
      <w:lvlJc w:val="left"/>
      <w:pPr>
        <w:ind w:left="1080" w:hanging="360"/>
      </w:pPr>
      <w:rPr>
        <w:rFonts w:ascii="Trebuchet MS" w:eastAsia="Times New Roman" w:hAnsi="Trebuchet MS"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2A113C2"/>
    <w:multiLevelType w:val="hybridMultilevel"/>
    <w:tmpl w:val="91F6F308"/>
    <w:lvl w:ilvl="0" w:tplc="0FF82166">
      <w:numFmt w:val="bullet"/>
      <w:lvlText w:val="·"/>
      <w:lvlJc w:val="left"/>
      <w:pPr>
        <w:ind w:left="720" w:hanging="360"/>
      </w:pPr>
      <w:rPr>
        <w:rFonts w:ascii="Trebuchet MS" w:eastAsia="Times New Roman" w:hAnsi="Trebuchet MS"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573D8F"/>
    <w:multiLevelType w:val="hybridMultilevel"/>
    <w:tmpl w:val="B1F8F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72C4282"/>
    <w:multiLevelType w:val="hybridMultilevel"/>
    <w:tmpl w:val="7CCE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33615C"/>
    <w:multiLevelType w:val="hybridMultilevel"/>
    <w:tmpl w:val="23D024BC"/>
    <w:lvl w:ilvl="0" w:tplc="23D28B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A185E90"/>
    <w:multiLevelType w:val="hybridMultilevel"/>
    <w:tmpl w:val="CC7A01A2"/>
    <w:lvl w:ilvl="0" w:tplc="0F9075FA">
      <w:start w:val="1"/>
      <w:numFmt w:val="decimal"/>
      <w:lvlText w:val="(%1)"/>
      <w:lvlJc w:val="left"/>
      <w:pPr>
        <w:ind w:left="720" w:hanging="720"/>
      </w:pPr>
      <w:rPr>
        <w:rFonts w:hint="default"/>
      </w:rPr>
    </w:lvl>
    <w:lvl w:ilvl="1" w:tplc="D0D631B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6F271C"/>
    <w:multiLevelType w:val="hybridMultilevel"/>
    <w:tmpl w:val="1C3A4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417323"/>
    <w:multiLevelType w:val="hybridMultilevel"/>
    <w:tmpl w:val="B9F6C23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3E6726F0"/>
    <w:multiLevelType w:val="hybridMultilevel"/>
    <w:tmpl w:val="D09A3498"/>
    <w:lvl w:ilvl="0" w:tplc="F93C163C">
      <w:start w:val="1"/>
      <w:numFmt w:val="bullet"/>
      <w:lvlText w:val=""/>
      <w:lvlJc w:val="left"/>
      <w:pPr>
        <w:tabs>
          <w:tab w:val="num" w:pos="425"/>
        </w:tabs>
        <w:ind w:left="425" w:hanging="425"/>
      </w:pPr>
      <w:rPr>
        <w:rFonts w:ascii="Symbol" w:hAnsi="Symbol"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B517B"/>
    <w:multiLevelType w:val="hybridMultilevel"/>
    <w:tmpl w:val="6428D2E0"/>
    <w:lvl w:ilvl="0" w:tplc="312A6574">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3C63EC5"/>
    <w:multiLevelType w:val="hybridMultilevel"/>
    <w:tmpl w:val="8D1AA4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0E019A"/>
    <w:multiLevelType w:val="hybridMultilevel"/>
    <w:tmpl w:val="C60C7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C50720"/>
    <w:multiLevelType w:val="hybridMultilevel"/>
    <w:tmpl w:val="2B20BDC8"/>
    <w:lvl w:ilvl="0" w:tplc="F93C163C">
      <w:start w:val="1"/>
      <w:numFmt w:val="bullet"/>
      <w:lvlText w:val=""/>
      <w:lvlJc w:val="left"/>
      <w:pPr>
        <w:tabs>
          <w:tab w:val="num" w:pos="850"/>
        </w:tabs>
        <w:ind w:left="850" w:hanging="425"/>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nsid w:val="47C62981"/>
    <w:multiLevelType w:val="multilevel"/>
    <w:tmpl w:val="A970B95E"/>
    <w:lvl w:ilvl="0">
      <w:start w:val="1"/>
      <w:numFmt w:val="decimal"/>
      <w:lvlText w:val="%1."/>
      <w:lvlJc w:val="left"/>
      <w:pPr>
        <w:ind w:left="720" w:hanging="360"/>
      </w:pPr>
    </w:lvl>
    <w:lvl w:ilvl="1">
      <w:start w:val="4"/>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7">
    <w:nsid w:val="4A0B4637"/>
    <w:multiLevelType w:val="hybridMultilevel"/>
    <w:tmpl w:val="6FE0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C36F3C"/>
    <w:multiLevelType w:val="hybridMultilevel"/>
    <w:tmpl w:val="3580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23296"/>
    <w:multiLevelType w:val="hybridMultilevel"/>
    <w:tmpl w:val="BC86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57070B"/>
    <w:multiLevelType w:val="hybridMultilevel"/>
    <w:tmpl w:val="D31C79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A611062"/>
    <w:multiLevelType w:val="hybridMultilevel"/>
    <w:tmpl w:val="1BEC9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FD7C22"/>
    <w:multiLevelType w:val="hybridMultilevel"/>
    <w:tmpl w:val="E9226C2C"/>
    <w:lvl w:ilvl="0" w:tplc="0FF82166">
      <w:numFmt w:val="bullet"/>
      <w:lvlText w:val="·"/>
      <w:lvlJc w:val="left"/>
      <w:pPr>
        <w:ind w:left="1080" w:hanging="360"/>
      </w:pPr>
      <w:rPr>
        <w:rFonts w:ascii="Trebuchet MS" w:eastAsia="Times New Roman" w:hAnsi="Trebuchet MS"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66C5521F"/>
    <w:multiLevelType w:val="hybridMultilevel"/>
    <w:tmpl w:val="68063DAC"/>
    <w:lvl w:ilvl="0" w:tplc="101EA44A">
      <w:start w:val="1"/>
      <w:numFmt w:val="decimal"/>
      <w:lvlText w:val="4.%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8775C9"/>
    <w:multiLevelType w:val="hybridMultilevel"/>
    <w:tmpl w:val="D09A3498"/>
    <w:lvl w:ilvl="0" w:tplc="F93C163C">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BF5662"/>
    <w:multiLevelType w:val="hybridMultilevel"/>
    <w:tmpl w:val="32729B64"/>
    <w:lvl w:ilvl="0" w:tplc="F93C163C">
      <w:start w:val="1"/>
      <w:numFmt w:val="bullet"/>
      <w:lvlText w:val=""/>
      <w:lvlJc w:val="left"/>
      <w:pPr>
        <w:tabs>
          <w:tab w:val="num" w:pos="850"/>
        </w:tabs>
        <w:ind w:left="850" w:hanging="425"/>
      </w:pPr>
      <w:rPr>
        <w:rFonts w:ascii="Wingdings" w:hAnsi="Wingdings" w:hint="default"/>
      </w:rPr>
    </w:lvl>
    <w:lvl w:ilvl="1" w:tplc="F13C3B72">
      <w:numFmt w:val="bullet"/>
      <w:lvlText w:val="•"/>
      <w:lvlJc w:val="left"/>
      <w:pPr>
        <w:ind w:left="2225" w:hanging="720"/>
      </w:pPr>
      <w:rPr>
        <w:rFonts w:ascii="Calibri" w:eastAsia="Times New Roman" w:hAnsi="Calibri" w:cs="Arial"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6">
    <w:nsid w:val="6E4B7F39"/>
    <w:multiLevelType w:val="multilevel"/>
    <w:tmpl w:val="06682B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F347751"/>
    <w:multiLevelType w:val="hybridMultilevel"/>
    <w:tmpl w:val="4F2A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992ACD"/>
    <w:multiLevelType w:val="hybridMultilevel"/>
    <w:tmpl w:val="1F46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641CC8"/>
    <w:multiLevelType w:val="hybridMultilevel"/>
    <w:tmpl w:val="BA78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3719B"/>
    <w:multiLevelType w:val="hybridMultilevel"/>
    <w:tmpl w:val="BC06CF26"/>
    <w:lvl w:ilvl="0" w:tplc="0C09000F">
      <w:start w:val="1"/>
      <w:numFmt w:val="decimal"/>
      <w:lvlText w:val="%1."/>
      <w:lvlJc w:val="left"/>
      <w:pPr>
        <w:ind w:left="1451" w:hanging="360"/>
      </w:pPr>
    </w:lvl>
    <w:lvl w:ilvl="1" w:tplc="0C090019" w:tentative="1">
      <w:start w:val="1"/>
      <w:numFmt w:val="lowerLetter"/>
      <w:lvlText w:val="%2."/>
      <w:lvlJc w:val="left"/>
      <w:pPr>
        <w:ind w:left="2171" w:hanging="360"/>
      </w:pPr>
    </w:lvl>
    <w:lvl w:ilvl="2" w:tplc="0C09001B" w:tentative="1">
      <w:start w:val="1"/>
      <w:numFmt w:val="lowerRoman"/>
      <w:lvlText w:val="%3."/>
      <w:lvlJc w:val="right"/>
      <w:pPr>
        <w:ind w:left="2891" w:hanging="180"/>
      </w:pPr>
    </w:lvl>
    <w:lvl w:ilvl="3" w:tplc="0C09000F" w:tentative="1">
      <w:start w:val="1"/>
      <w:numFmt w:val="decimal"/>
      <w:lvlText w:val="%4."/>
      <w:lvlJc w:val="left"/>
      <w:pPr>
        <w:ind w:left="3611" w:hanging="360"/>
      </w:pPr>
    </w:lvl>
    <w:lvl w:ilvl="4" w:tplc="0C090019" w:tentative="1">
      <w:start w:val="1"/>
      <w:numFmt w:val="lowerLetter"/>
      <w:lvlText w:val="%5."/>
      <w:lvlJc w:val="left"/>
      <w:pPr>
        <w:ind w:left="4331" w:hanging="360"/>
      </w:pPr>
    </w:lvl>
    <w:lvl w:ilvl="5" w:tplc="0C09001B" w:tentative="1">
      <w:start w:val="1"/>
      <w:numFmt w:val="lowerRoman"/>
      <w:lvlText w:val="%6."/>
      <w:lvlJc w:val="right"/>
      <w:pPr>
        <w:ind w:left="5051" w:hanging="180"/>
      </w:pPr>
    </w:lvl>
    <w:lvl w:ilvl="6" w:tplc="0C09000F" w:tentative="1">
      <w:start w:val="1"/>
      <w:numFmt w:val="decimal"/>
      <w:lvlText w:val="%7."/>
      <w:lvlJc w:val="left"/>
      <w:pPr>
        <w:ind w:left="5771" w:hanging="360"/>
      </w:pPr>
    </w:lvl>
    <w:lvl w:ilvl="7" w:tplc="0C090019" w:tentative="1">
      <w:start w:val="1"/>
      <w:numFmt w:val="lowerLetter"/>
      <w:lvlText w:val="%8."/>
      <w:lvlJc w:val="left"/>
      <w:pPr>
        <w:ind w:left="6491" w:hanging="360"/>
      </w:pPr>
    </w:lvl>
    <w:lvl w:ilvl="8" w:tplc="0C09001B" w:tentative="1">
      <w:start w:val="1"/>
      <w:numFmt w:val="lowerRoman"/>
      <w:lvlText w:val="%9."/>
      <w:lvlJc w:val="right"/>
      <w:pPr>
        <w:ind w:left="7211" w:hanging="180"/>
      </w:pPr>
    </w:lvl>
  </w:abstractNum>
  <w:abstractNum w:abstractNumId="41">
    <w:nsid w:val="7922571C"/>
    <w:multiLevelType w:val="hybridMultilevel"/>
    <w:tmpl w:val="2EC4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71FFA"/>
    <w:multiLevelType w:val="hybridMultilevel"/>
    <w:tmpl w:val="BEECD3EC"/>
    <w:lvl w:ilvl="0" w:tplc="F1B09BB4">
      <w:start w:val="1"/>
      <w:numFmt w:val="decimal"/>
      <w:lvlText w:val="3.%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3">
    <w:nsid w:val="7A056A44"/>
    <w:multiLevelType w:val="hybridMultilevel"/>
    <w:tmpl w:val="1AD254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D836671"/>
    <w:multiLevelType w:val="hybridMultilevel"/>
    <w:tmpl w:val="8F506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ED922E8"/>
    <w:multiLevelType w:val="hybridMultilevel"/>
    <w:tmpl w:val="2B20BDC8"/>
    <w:lvl w:ilvl="0" w:tplc="F93C163C">
      <w:start w:val="1"/>
      <w:numFmt w:val="bullet"/>
      <w:lvlText w:val=""/>
      <w:lvlJc w:val="left"/>
      <w:pPr>
        <w:tabs>
          <w:tab w:val="num" w:pos="850"/>
        </w:tabs>
        <w:ind w:left="850" w:hanging="425"/>
      </w:pPr>
      <w:rPr>
        <w:rFonts w:ascii="Wingdings" w:hAnsi="Wingdings"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27"/>
  </w:num>
  <w:num w:numId="2">
    <w:abstractNumId w:val="37"/>
  </w:num>
  <w:num w:numId="3">
    <w:abstractNumId w:val="6"/>
  </w:num>
  <w:num w:numId="4">
    <w:abstractNumId w:val="15"/>
  </w:num>
  <w:num w:numId="5">
    <w:abstractNumId w:val="17"/>
  </w:num>
  <w:num w:numId="6">
    <w:abstractNumId w:val="24"/>
  </w:num>
  <w:num w:numId="7">
    <w:abstractNumId w:val="31"/>
  </w:num>
  <w:num w:numId="8">
    <w:abstractNumId w:val="36"/>
  </w:num>
  <w:num w:numId="9">
    <w:abstractNumId w:val="40"/>
  </w:num>
  <w:num w:numId="10">
    <w:abstractNumId w:val="0"/>
  </w:num>
  <w:num w:numId="11">
    <w:abstractNumId w:val="12"/>
  </w:num>
  <w:num w:numId="12">
    <w:abstractNumId w:val="7"/>
  </w:num>
  <w:num w:numId="13">
    <w:abstractNumId w:val="10"/>
  </w:num>
  <w:num w:numId="14">
    <w:abstractNumId w:val="14"/>
  </w:num>
  <w:num w:numId="15">
    <w:abstractNumId w:val="13"/>
  </w:num>
  <w:num w:numId="16">
    <w:abstractNumId w:val="32"/>
  </w:num>
  <w:num w:numId="17">
    <w:abstractNumId w:val="20"/>
  </w:num>
  <w:num w:numId="18">
    <w:abstractNumId w:val="19"/>
  </w:num>
  <w:num w:numId="19">
    <w:abstractNumId w:val="23"/>
  </w:num>
  <w:num w:numId="20">
    <w:abstractNumId w:val="11"/>
  </w:num>
  <w:num w:numId="21">
    <w:abstractNumId w:val="34"/>
  </w:num>
  <w:num w:numId="22">
    <w:abstractNumId w:val="21"/>
  </w:num>
  <w:num w:numId="23">
    <w:abstractNumId w:val="25"/>
  </w:num>
  <w:num w:numId="24">
    <w:abstractNumId w:val="45"/>
  </w:num>
  <w:num w:numId="25">
    <w:abstractNumId w:val="35"/>
  </w:num>
  <w:num w:numId="26">
    <w:abstractNumId w:val="29"/>
  </w:num>
  <w:num w:numId="27">
    <w:abstractNumId w:val="9"/>
  </w:num>
  <w:num w:numId="28">
    <w:abstractNumId w:val="44"/>
  </w:num>
  <w:num w:numId="29">
    <w:abstractNumId w:val="26"/>
  </w:num>
  <w:num w:numId="30">
    <w:abstractNumId w:val="43"/>
  </w:num>
  <w:num w:numId="31">
    <w:abstractNumId w:val="2"/>
  </w:num>
  <w:num w:numId="32">
    <w:abstractNumId w:val="42"/>
  </w:num>
  <w:num w:numId="33">
    <w:abstractNumId w:val="1"/>
  </w:num>
  <w:num w:numId="34">
    <w:abstractNumId w:val="28"/>
  </w:num>
  <w:num w:numId="35">
    <w:abstractNumId w:val="18"/>
  </w:num>
  <w:num w:numId="36">
    <w:abstractNumId w:val="22"/>
  </w:num>
  <w:num w:numId="37">
    <w:abstractNumId w:val="4"/>
  </w:num>
  <w:num w:numId="38">
    <w:abstractNumId w:val="38"/>
  </w:num>
  <w:num w:numId="39">
    <w:abstractNumId w:val="16"/>
  </w:num>
  <w:num w:numId="40">
    <w:abstractNumId w:val="39"/>
  </w:num>
  <w:num w:numId="41">
    <w:abstractNumId w:val="30"/>
  </w:num>
  <w:num w:numId="42">
    <w:abstractNumId w:val="41"/>
  </w:num>
  <w:num w:numId="43">
    <w:abstractNumId w:val="5"/>
  </w:num>
  <w:num w:numId="44">
    <w:abstractNumId w:val="33"/>
  </w:num>
  <w:num w:numId="45">
    <w:abstractNumId w:val="8"/>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7DA"/>
    <w:rsid w:val="00002FA3"/>
    <w:rsid w:val="0000550D"/>
    <w:rsid w:val="00005DC3"/>
    <w:rsid w:val="00010BA5"/>
    <w:rsid w:val="00011002"/>
    <w:rsid w:val="000116CD"/>
    <w:rsid w:val="0003019E"/>
    <w:rsid w:val="00035B53"/>
    <w:rsid w:val="0003605F"/>
    <w:rsid w:val="00042FBA"/>
    <w:rsid w:val="00047219"/>
    <w:rsid w:val="00047F1E"/>
    <w:rsid w:val="00056B6E"/>
    <w:rsid w:val="000607BC"/>
    <w:rsid w:val="00072181"/>
    <w:rsid w:val="0007330E"/>
    <w:rsid w:val="00082DC1"/>
    <w:rsid w:val="000915EA"/>
    <w:rsid w:val="000916FE"/>
    <w:rsid w:val="000A2381"/>
    <w:rsid w:val="000B311B"/>
    <w:rsid w:val="000C133B"/>
    <w:rsid w:val="000C3254"/>
    <w:rsid w:val="000C45F9"/>
    <w:rsid w:val="000D0324"/>
    <w:rsid w:val="000D0A07"/>
    <w:rsid w:val="000D7B25"/>
    <w:rsid w:val="000E275D"/>
    <w:rsid w:val="000E49C9"/>
    <w:rsid w:val="000F4E4F"/>
    <w:rsid w:val="00103D84"/>
    <w:rsid w:val="001124F6"/>
    <w:rsid w:val="00113B78"/>
    <w:rsid w:val="0011425D"/>
    <w:rsid w:val="001165A8"/>
    <w:rsid w:val="0012751C"/>
    <w:rsid w:val="00127EC4"/>
    <w:rsid w:val="00131362"/>
    <w:rsid w:val="0014092D"/>
    <w:rsid w:val="00147C71"/>
    <w:rsid w:val="00152922"/>
    <w:rsid w:val="00161E86"/>
    <w:rsid w:val="0016263B"/>
    <w:rsid w:val="001819AE"/>
    <w:rsid w:val="0018248B"/>
    <w:rsid w:val="00184F89"/>
    <w:rsid w:val="00186063"/>
    <w:rsid w:val="00187044"/>
    <w:rsid w:val="00187FF8"/>
    <w:rsid w:val="001917A9"/>
    <w:rsid w:val="001A41FF"/>
    <w:rsid w:val="001B0319"/>
    <w:rsid w:val="001B0FA8"/>
    <w:rsid w:val="001C0BC3"/>
    <w:rsid w:val="001C0DC0"/>
    <w:rsid w:val="001D17C9"/>
    <w:rsid w:val="001E0062"/>
    <w:rsid w:val="001E36C7"/>
    <w:rsid w:val="001F02FD"/>
    <w:rsid w:val="00200BDC"/>
    <w:rsid w:val="002105BB"/>
    <w:rsid w:val="00223050"/>
    <w:rsid w:val="00225483"/>
    <w:rsid w:val="00251EC8"/>
    <w:rsid w:val="002626A8"/>
    <w:rsid w:val="00263C6B"/>
    <w:rsid w:val="00273BC5"/>
    <w:rsid w:val="00274F15"/>
    <w:rsid w:val="00280B1A"/>
    <w:rsid w:val="00287D73"/>
    <w:rsid w:val="002A6CD2"/>
    <w:rsid w:val="002A7949"/>
    <w:rsid w:val="002B278B"/>
    <w:rsid w:val="002B4C52"/>
    <w:rsid w:val="002B7050"/>
    <w:rsid w:val="002D5A95"/>
    <w:rsid w:val="002E1EF7"/>
    <w:rsid w:val="002E2C6A"/>
    <w:rsid w:val="002E67C0"/>
    <w:rsid w:val="002F2AF6"/>
    <w:rsid w:val="00303B9E"/>
    <w:rsid w:val="0030719B"/>
    <w:rsid w:val="00321142"/>
    <w:rsid w:val="003211B6"/>
    <w:rsid w:val="0033085D"/>
    <w:rsid w:val="0034043E"/>
    <w:rsid w:val="00342BDF"/>
    <w:rsid w:val="00356C49"/>
    <w:rsid w:val="00367AF7"/>
    <w:rsid w:val="00372EFD"/>
    <w:rsid w:val="00387C8E"/>
    <w:rsid w:val="00394DE8"/>
    <w:rsid w:val="003F2C4B"/>
    <w:rsid w:val="004142C3"/>
    <w:rsid w:val="00421823"/>
    <w:rsid w:val="00422DA0"/>
    <w:rsid w:val="0043273C"/>
    <w:rsid w:val="00445B80"/>
    <w:rsid w:val="00450F27"/>
    <w:rsid w:val="004533EE"/>
    <w:rsid w:val="004542B0"/>
    <w:rsid w:val="00463D6E"/>
    <w:rsid w:val="00470573"/>
    <w:rsid w:val="00471310"/>
    <w:rsid w:val="004724B3"/>
    <w:rsid w:val="00475AD1"/>
    <w:rsid w:val="00490DE9"/>
    <w:rsid w:val="004934FF"/>
    <w:rsid w:val="004A33F9"/>
    <w:rsid w:val="004A37AB"/>
    <w:rsid w:val="004A7664"/>
    <w:rsid w:val="004A78E8"/>
    <w:rsid w:val="004B7554"/>
    <w:rsid w:val="004C1D59"/>
    <w:rsid w:val="004E3788"/>
    <w:rsid w:val="004F3070"/>
    <w:rsid w:val="00506DF4"/>
    <w:rsid w:val="005116E0"/>
    <w:rsid w:val="005159C5"/>
    <w:rsid w:val="00523DD3"/>
    <w:rsid w:val="005257FD"/>
    <w:rsid w:val="005302F3"/>
    <w:rsid w:val="00531862"/>
    <w:rsid w:val="00543622"/>
    <w:rsid w:val="0054790C"/>
    <w:rsid w:val="00562455"/>
    <w:rsid w:val="005645F8"/>
    <w:rsid w:val="00574685"/>
    <w:rsid w:val="005813CD"/>
    <w:rsid w:val="005900A3"/>
    <w:rsid w:val="00590BD9"/>
    <w:rsid w:val="00591A94"/>
    <w:rsid w:val="005925F8"/>
    <w:rsid w:val="00593F66"/>
    <w:rsid w:val="005941A9"/>
    <w:rsid w:val="005C3C96"/>
    <w:rsid w:val="005D16F6"/>
    <w:rsid w:val="005F1031"/>
    <w:rsid w:val="005F113E"/>
    <w:rsid w:val="005F16CD"/>
    <w:rsid w:val="005F17BB"/>
    <w:rsid w:val="005F7C8D"/>
    <w:rsid w:val="00603B1E"/>
    <w:rsid w:val="00605ADD"/>
    <w:rsid w:val="00610BD8"/>
    <w:rsid w:val="006119D7"/>
    <w:rsid w:val="00616ED0"/>
    <w:rsid w:val="00622048"/>
    <w:rsid w:val="00623E61"/>
    <w:rsid w:val="00624A8D"/>
    <w:rsid w:val="00626ABB"/>
    <w:rsid w:val="006340A1"/>
    <w:rsid w:val="006418D4"/>
    <w:rsid w:val="006475CD"/>
    <w:rsid w:val="00660A33"/>
    <w:rsid w:val="006745D4"/>
    <w:rsid w:val="0067674D"/>
    <w:rsid w:val="00681B7E"/>
    <w:rsid w:val="006C3073"/>
    <w:rsid w:val="006C7B49"/>
    <w:rsid w:val="006D66F6"/>
    <w:rsid w:val="006E7572"/>
    <w:rsid w:val="006F04AD"/>
    <w:rsid w:val="006F1ACB"/>
    <w:rsid w:val="00703DDC"/>
    <w:rsid w:val="00704161"/>
    <w:rsid w:val="00721E1D"/>
    <w:rsid w:val="00727595"/>
    <w:rsid w:val="0073312B"/>
    <w:rsid w:val="00733605"/>
    <w:rsid w:val="00733F2A"/>
    <w:rsid w:val="00744AE3"/>
    <w:rsid w:val="00755AD0"/>
    <w:rsid w:val="00766127"/>
    <w:rsid w:val="00773319"/>
    <w:rsid w:val="007769F5"/>
    <w:rsid w:val="007900BC"/>
    <w:rsid w:val="00795A6C"/>
    <w:rsid w:val="007972D1"/>
    <w:rsid w:val="007A7E44"/>
    <w:rsid w:val="007C27D5"/>
    <w:rsid w:val="007D18FB"/>
    <w:rsid w:val="007D246E"/>
    <w:rsid w:val="007D3FD1"/>
    <w:rsid w:val="007D5620"/>
    <w:rsid w:val="007E2EA0"/>
    <w:rsid w:val="007E7580"/>
    <w:rsid w:val="00803DF3"/>
    <w:rsid w:val="008102A2"/>
    <w:rsid w:val="008222F2"/>
    <w:rsid w:val="008372B5"/>
    <w:rsid w:val="008402C1"/>
    <w:rsid w:val="00846CE6"/>
    <w:rsid w:val="00852ADE"/>
    <w:rsid w:val="008576C9"/>
    <w:rsid w:val="00860BFD"/>
    <w:rsid w:val="0086739D"/>
    <w:rsid w:val="008751AB"/>
    <w:rsid w:val="00876817"/>
    <w:rsid w:val="00877A9D"/>
    <w:rsid w:val="0088028A"/>
    <w:rsid w:val="00882B60"/>
    <w:rsid w:val="008860D7"/>
    <w:rsid w:val="00893EEB"/>
    <w:rsid w:val="008A4BDE"/>
    <w:rsid w:val="008B3B98"/>
    <w:rsid w:val="008B4B68"/>
    <w:rsid w:val="008B72BE"/>
    <w:rsid w:val="008B78CD"/>
    <w:rsid w:val="008D059A"/>
    <w:rsid w:val="008D0B3A"/>
    <w:rsid w:val="008E3D71"/>
    <w:rsid w:val="008F15E0"/>
    <w:rsid w:val="008F2C46"/>
    <w:rsid w:val="008F2EBB"/>
    <w:rsid w:val="00903202"/>
    <w:rsid w:val="0090416C"/>
    <w:rsid w:val="0090431E"/>
    <w:rsid w:val="009142C4"/>
    <w:rsid w:val="009300DA"/>
    <w:rsid w:val="009323AB"/>
    <w:rsid w:val="009420FB"/>
    <w:rsid w:val="00942F22"/>
    <w:rsid w:val="00950E17"/>
    <w:rsid w:val="00957C64"/>
    <w:rsid w:val="00963602"/>
    <w:rsid w:val="00963AC1"/>
    <w:rsid w:val="00964F02"/>
    <w:rsid w:val="009757DA"/>
    <w:rsid w:val="00981031"/>
    <w:rsid w:val="00984433"/>
    <w:rsid w:val="009948E2"/>
    <w:rsid w:val="009A04B4"/>
    <w:rsid w:val="009A4C30"/>
    <w:rsid w:val="009B250A"/>
    <w:rsid w:val="009B46E5"/>
    <w:rsid w:val="009C3335"/>
    <w:rsid w:val="009D050C"/>
    <w:rsid w:val="009D25CA"/>
    <w:rsid w:val="009F17C3"/>
    <w:rsid w:val="009F7E3B"/>
    <w:rsid w:val="00A029CA"/>
    <w:rsid w:val="00A03B5B"/>
    <w:rsid w:val="00A20CCC"/>
    <w:rsid w:val="00A235F6"/>
    <w:rsid w:val="00A23C21"/>
    <w:rsid w:val="00A24133"/>
    <w:rsid w:val="00A36953"/>
    <w:rsid w:val="00A428CC"/>
    <w:rsid w:val="00A42F6D"/>
    <w:rsid w:val="00A50264"/>
    <w:rsid w:val="00A5782C"/>
    <w:rsid w:val="00A63B8E"/>
    <w:rsid w:val="00A819E0"/>
    <w:rsid w:val="00A83AD0"/>
    <w:rsid w:val="00A87888"/>
    <w:rsid w:val="00A957F9"/>
    <w:rsid w:val="00AA19DD"/>
    <w:rsid w:val="00AA3466"/>
    <w:rsid w:val="00AB02B0"/>
    <w:rsid w:val="00AB207D"/>
    <w:rsid w:val="00AC15B7"/>
    <w:rsid w:val="00AD290A"/>
    <w:rsid w:val="00AD5BCF"/>
    <w:rsid w:val="00AF108C"/>
    <w:rsid w:val="00B1576D"/>
    <w:rsid w:val="00B17346"/>
    <w:rsid w:val="00B209E7"/>
    <w:rsid w:val="00B218B7"/>
    <w:rsid w:val="00B24FC6"/>
    <w:rsid w:val="00B30F8F"/>
    <w:rsid w:val="00B3600A"/>
    <w:rsid w:val="00B4070E"/>
    <w:rsid w:val="00B44BEC"/>
    <w:rsid w:val="00B47092"/>
    <w:rsid w:val="00B47C7C"/>
    <w:rsid w:val="00B776B1"/>
    <w:rsid w:val="00B87035"/>
    <w:rsid w:val="00BA3CAC"/>
    <w:rsid w:val="00BA7A84"/>
    <w:rsid w:val="00BB7C8D"/>
    <w:rsid w:val="00BC77B3"/>
    <w:rsid w:val="00BD0A9A"/>
    <w:rsid w:val="00BD3420"/>
    <w:rsid w:val="00BE700C"/>
    <w:rsid w:val="00BF1F1D"/>
    <w:rsid w:val="00BF2991"/>
    <w:rsid w:val="00BF2EA7"/>
    <w:rsid w:val="00BF2EF7"/>
    <w:rsid w:val="00BF3781"/>
    <w:rsid w:val="00BF4B33"/>
    <w:rsid w:val="00BF5B02"/>
    <w:rsid w:val="00BF79A7"/>
    <w:rsid w:val="00C06634"/>
    <w:rsid w:val="00C12D1C"/>
    <w:rsid w:val="00C14D5E"/>
    <w:rsid w:val="00C15AA1"/>
    <w:rsid w:val="00C16FED"/>
    <w:rsid w:val="00C21817"/>
    <w:rsid w:val="00C53164"/>
    <w:rsid w:val="00C53D9F"/>
    <w:rsid w:val="00C5403F"/>
    <w:rsid w:val="00C74987"/>
    <w:rsid w:val="00C9055E"/>
    <w:rsid w:val="00C97C36"/>
    <w:rsid w:val="00CA65AC"/>
    <w:rsid w:val="00CA76C2"/>
    <w:rsid w:val="00CB3F84"/>
    <w:rsid w:val="00CB6D33"/>
    <w:rsid w:val="00CC3A4F"/>
    <w:rsid w:val="00CD298F"/>
    <w:rsid w:val="00CD6A8D"/>
    <w:rsid w:val="00CE1CB9"/>
    <w:rsid w:val="00CF2A0A"/>
    <w:rsid w:val="00CF6127"/>
    <w:rsid w:val="00CF78DC"/>
    <w:rsid w:val="00D02481"/>
    <w:rsid w:val="00D06E52"/>
    <w:rsid w:val="00D10A29"/>
    <w:rsid w:val="00D11FBA"/>
    <w:rsid w:val="00D177AD"/>
    <w:rsid w:val="00D21F75"/>
    <w:rsid w:val="00D22D37"/>
    <w:rsid w:val="00D315C1"/>
    <w:rsid w:val="00D34EC0"/>
    <w:rsid w:val="00D42DBD"/>
    <w:rsid w:val="00D4464F"/>
    <w:rsid w:val="00D51361"/>
    <w:rsid w:val="00D63F4A"/>
    <w:rsid w:val="00D70AA4"/>
    <w:rsid w:val="00D70CD5"/>
    <w:rsid w:val="00D80C09"/>
    <w:rsid w:val="00D81283"/>
    <w:rsid w:val="00D868AE"/>
    <w:rsid w:val="00D87150"/>
    <w:rsid w:val="00D953C5"/>
    <w:rsid w:val="00D96651"/>
    <w:rsid w:val="00DA34ED"/>
    <w:rsid w:val="00DA4A0C"/>
    <w:rsid w:val="00DA7D8E"/>
    <w:rsid w:val="00DB19B0"/>
    <w:rsid w:val="00DC0CF8"/>
    <w:rsid w:val="00DD03EF"/>
    <w:rsid w:val="00DD13B3"/>
    <w:rsid w:val="00DD2FB7"/>
    <w:rsid w:val="00DE5DB7"/>
    <w:rsid w:val="00DF783D"/>
    <w:rsid w:val="00E06F64"/>
    <w:rsid w:val="00E136CD"/>
    <w:rsid w:val="00E1664D"/>
    <w:rsid w:val="00E2361A"/>
    <w:rsid w:val="00E35CBD"/>
    <w:rsid w:val="00E42878"/>
    <w:rsid w:val="00E5116A"/>
    <w:rsid w:val="00E70B96"/>
    <w:rsid w:val="00E76199"/>
    <w:rsid w:val="00E7756B"/>
    <w:rsid w:val="00EA6F84"/>
    <w:rsid w:val="00EB098A"/>
    <w:rsid w:val="00EB2712"/>
    <w:rsid w:val="00EB558E"/>
    <w:rsid w:val="00EB5EB4"/>
    <w:rsid w:val="00EC3F9A"/>
    <w:rsid w:val="00EE3E3C"/>
    <w:rsid w:val="00EF1DC3"/>
    <w:rsid w:val="00F03D5D"/>
    <w:rsid w:val="00F1148A"/>
    <w:rsid w:val="00F12A93"/>
    <w:rsid w:val="00F272CE"/>
    <w:rsid w:val="00F30B66"/>
    <w:rsid w:val="00F33210"/>
    <w:rsid w:val="00F40DE2"/>
    <w:rsid w:val="00F77746"/>
    <w:rsid w:val="00F827BC"/>
    <w:rsid w:val="00F8312F"/>
    <w:rsid w:val="00F9768D"/>
    <w:rsid w:val="00FB5D57"/>
    <w:rsid w:val="00FC70D5"/>
    <w:rsid w:val="00FD0DF9"/>
    <w:rsid w:val="00FD2CF3"/>
    <w:rsid w:val="00FD3363"/>
    <w:rsid w:val="00FD5B0C"/>
    <w:rsid w:val="00FD6B97"/>
    <w:rsid w:val="00FF668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26D"/>
    <w:rPr>
      <w:lang w:val="en-AU"/>
    </w:rPr>
  </w:style>
  <w:style w:type="paragraph" w:styleId="Heading2">
    <w:name w:val="heading 2"/>
    <w:basedOn w:val="Normal"/>
    <w:next w:val="Normal"/>
    <w:link w:val="Heading2Char"/>
    <w:qFormat/>
    <w:rsid w:val="00733F2A"/>
    <w:pPr>
      <w:keepNext/>
      <w:spacing w:before="240" w:after="60"/>
      <w:outlineLvl w:val="1"/>
    </w:pPr>
    <w:rPr>
      <w:rFonts w:ascii="Arial" w:eastAsia="Times New Roman" w:hAnsi="Arial" w:cs="Times New Roman"/>
      <w:b/>
      <w:i/>
      <w:szCs w:val="20"/>
      <w:lang w:eastAsia="en-AU"/>
    </w:rPr>
  </w:style>
  <w:style w:type="paragraph" w:styleId="Heading3">
    <w:name w:val="heading 3"/>
    <w:basedOn w:val="Normal"/>
    <w:next w:val="Normal"/>
    <w:link w:val="Heading3Char"/>
    <w:uiPriority w:val="9"/>
    <w:semiHidden/>
    <w:unhideWhenUsed/>
    <w:qFormat/>
    <w:rsid w:val="00733F2A"/>
    <w:pPr>
      <w:keepNext/>
      <w:keepLines/>
      <w:spacing w:before="200" w:after="0"/>
      <w:outlineLvl w:val="2"/>
    </w:pPr>
    <w:rPr>
      <w:rFonts w:asciiTheme="majorHAnsi" w:eastAsiaTheme="majorEastAsia" w:hAnsiTheme="majorHAnsi" w:cstheme="majorBidi"/>
      <w:b/>
      <w:bCs/>
      <w:color w:val="4F81BD" w:themeColor="accent1"/>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WBodyText">
    <w:name w:val="LW_Body Text"/>
    <w:basedOn w:val="Normal"/>
    <w:qFormat/>
    <w:rsid w:val="00F10EAA"/>
    <w:rPr>
      <w:rFonts w:ascii="Arial" w:hAnsi="Arial"/>
      <w:sz w:val="18"/>
    </w:rPr>
  </w:style>
  <w:style w:type="paragraph" w:customStyle="1" w:styleId="ARBABodyText">
    <w:name w:val="ARBA_Body Text"/>
    <w:basedOn w:val="Normal"/>
    <w:qFormat/>
    <w:rsid w:val="00807443"/>
    <w:pPr>
      <w:spacing w:after="0" w:line="280" w:lineRule="atLeast"/>
    </w:pPr>
    <w:rPr>
      <w:rFonts w:ascii="Arial" w:hAnsi="Arial"/>
      <w:sz w:val="18"/>
    </w:rPr>
  </w:style>
  <w:style w:type="paragraph" w:customStyle="1" w:styleId="ARBALetterSubject">
    <w:name w:val="ARBA_Letter Subject"/>
    <w:basedOn w:val="Normal"/>
    <w:qFormat/>
    <w:rsid w:val="00807443"/>
    <w:pPr>
      <w:spacing w:after="0" w:line="280" w:lineRule="atLeast"/>
    </w:pPr>
    <w:rPr>
      <w:rFonts w:ascii="Arial" w:hAnsi="Arial"/>
      <w:b/>
      <w:sz w:val="18"/>
    </w:rPr>
  </w:style>
  <w:style w:type="paragraph" w:customStyle="1" w:styleId="MainHeading">
    <w:name w:val="Main Heading"/>
    <w:qFormat/>
    <w:rsid w:val="004055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0" w:lineRule="exact"/>
      <w:contextualSpacing/>
    </w:pPr>
    <w:rPr>
      <w:rFonts w:ascii="DIN-Light" w:hAnsi="DIN-Light" w:cs="DIN-Light"/>
      <w:caps/>
      <w:noProof/>
      <w:color w:val="8C0E1D"/>
      <w:position w:val="8"/>
      <w:sz w:val="32"/>
      <w:szCs w:val="32"/>
    </w:rPr>
  </w:style>
  <w:style w:type="paragraph" w:customStyle="1" w:styleId="MWFactsheetBody">
    <w:name w:val="MW Fact sheet Body"/>
    <w:qFormat/>
    <w:rsid w:val="004055B3"/>
    <w:pPr>
      <w:suppressAutoHyphens/>
      <w:spacing w:after="0" w:line="280" w:lineRule="exact"/>
    </w:pPr>
    <w:rPr>
      <w:rFonts w:ascii="Optima-Regular" w:hAnsi="Optima-Regular" w:cs="Optima-Regular"/>
      <w:color w:val="44413C"/>
      <w:spacing w:val="8"/>
      <w:position w:val="6"/>
      <w:sz w:val="17"/>
      <w:szCs w:val="17"/>
    </w:rPr>
  </w:style>
  <w:style w:type="paragraph" w:customStyle="1" w:styleId="MWFSMainHeading">
    <w:name w:val="MW FS Main Heading"/>
    <w:next w:val="MWFactsheetBody"/>
    <w:qFormat/>
    <w:rsid w:val="004055B3"/>
    <w:pPr>
      <w:suppressAutoHyphens/>
      <w:spacing w:after="0" w:line="280" w:lineRule="exact"/>
    </w:pPr>
    <w:rPr>
      <w:rFonts w:ascii="DIN-Light" w:hAnsi="DIN-Light"/>
      <w:caps/>
      <w:color w:val="8C0E1D"/>
      <w:position w:val="8"/>
      <w:sz w:val="32"/>
      <w:lang w:val="en-AU"/>
    </w:rPr>
  </w:style>
  <w:style w:type="paragraph" w:customStyle="1" w:styleId="MWFSSubHeading">
    <w:name w:val="MW FS Sub Heading"/>
    <w:next w:val="MWFactsheetBody"/>
    <w:qFormat/>
    <w:rsid w:val="004055B3"/>
    <w:pPr>
      <w:suppressAutoHyphens/>
      <w:spacing w:after="0" w:line="280" w:lineRule="exact"/>
    </w:pPr>
    <w:rPr>
      <w:rFonts w:ascii="DIN-Bold" w:hAnsi="DIN-Bold" w:cs="Optima-Regular"/>
      <w:caps/>
      <w:color w:val="44413C"/>
      <w:position w:val="6"/>
      <w:sz w:val="20"/>
      <w:szCs w:val="17"/>
    </w:rPr>
  </w:style>
  <w:style w:type="paragraph" w:customStyle="1" w:styleId="MWFSQFText">
    <w:name w:val="MW FS QF Text"/>
    <w:qFormat/>
    <w:rsid w:val="00405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autoSpaceDE w:val="0"/>
      <w:autoSpaceDN w:val="0"/>
      <w:adjustRightInd w:val="0"/>
      <w:spacing w:after="0" w:line="280" w:lineRule="exact"/>
      <w:textAlignment w:val="center"/>
    </w:pPr>
    <w:rPr>
      <w:rFonts w:ascii="DIN-Regular" w:hAnsi="DIN-Regular" w:cs="DIN-Regular"/>
      <w:color w:val="8C0E1D"/>
      <w:sz w:val="18"/>
      <w:szCs w:val="18"/>
      <w:lang w:val="en-AU"/>
    </w:rPr>
  </w:style>
  <w:style w:type="paragraph" w:customStyle="1" w:styleId="MWFSQFMainHead">
    <w:name w:val="MW FS QF Main Head"/>
    <w:next w:val="MWFSQFText"/>
    <w:qFormat/>
    <w:rsid w:val="00405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autoSpaceDE w:val="0"/>
      <w:autoSpaceDN w:val="0"/>
      <w:adjustRightInd w:val="0"/>
      <w:spacing w:after="0" w:line="288" w:lineRule="auto"/>
      <w:textAlignment w:val="center"/>
    </w:pPr>
    <w:rPr>
      <w:rFonts w:ascii="DIN-Light" w:hAnsi="DIN-Light" w:cs="DIN-Light"/>
      <w:caps/>
      <w:color w:val="8C0E1D"/>
      <w:lang w:val="en-AU"/>
    </w:rPr>
  </w:style>
  <w:style w:type="character" w:customStyle="1" w:styleId="MWFSQuickFacts">
    <w:name w:val="MW FS Quick Facts"/>
    <w:basedOn w:val="DefaultParagraphFont"/>
    <w:rsid w:val="004055B3"/>
    <w:rPr>
      <w:rFonts w:ascii="DIN-Black" w:hAnsi="DIN-Black"/>
      <w:color w:val="8C0E1D"/>
      <w:sz w:val="24"/>
    </w:rPr>
  </w:style>
  <w:style w:type="paragraph" w:customStyle="1" w:styleId="NoParagraphStyle">
    <w:name w:val="[No Paragraph Style]"/>
    <w:rsid w:val="009757DA"/>
    <w:pPr>
      <w:widowControl w:val="0"/>
      <w:autoSpaceDE w:val="0"/>
      <w:autoSpaceDN w:val="0"/>
      <w:adjustRightInd w:val="0"/>
      <w:spacing w:after="0" w:line="288" w:lineRule="auto"/>
      <w:textAlignment w:val="center"/>
    </w:pPr>
    <w:rPr>
      <w:rFonts w:ascii="Times-Italic" w:hAnsi="Times-Italic" w:cs="Times-Italic"/>
      <w:color w:val="000000"/>
      <w:lang w:val="en-GB"/>
    </w:rPr>
  </w:style>
  <w:style w:type="paragraph" w:customStyle="1" w:styleId="01SectionHead">
    <w:name w:val="01_Section Head"/>
    <w:basedOn w:val="NoParagraphStyle"/>
    <w:uiPriority w:val="99"/>
    <w:rsid w:val="009757DA"/>
    <w:pPr>
      <w:tabs>
        <w:tab w:val="left" w:pos="992"/>
      </w:tabs>
      <w:suppressAutoHyphens/>
      <w:spacing w:before="454" w:line="400" w:lineRule="atLeast"/>
    </w:pPr>
    <w:rPr>
      <w:rFonts w:ascii="MBembo-Bold" w:hAnsi="MBembo-Bold" w:cs="MBembo-Bold"/>
      <w:b/>
      <w:bCs/>
      <w:caps/>
      <w:sz w:val="36"/>
      <w:szCs w:val="36"/>
    </w:rPr>
  </w:style>
  <w:style w:type="paragraph" w:customStyle="1" w:styleId="00BodyText">
    <w:name w:val="00_Body Text"/>
    <w:basedOn w:val="NoParagraphStyle"/>
    <w:uiPriority w:val="99"/>
    <w:rsid w:val="009757DA"/>
    <w:pPr>
      <w:suppressAutoHyphens/>
      <w:spacing w:line="300" w:lineRule="atLeast"/>
    </w:pPr>
    <w:rPr>
      <w:rFonts w:ascii="MBembo" w:hAnsi="MBembo" w:cs="MBembo"/>
      <w:sz w:val="22"/>
      <w:szCs w:val="22"/>
    </w:rPr>
  </w:style>
  <w:style w:type="paragraph" w:customStyle="1" w:styleId="00Bulletedtext">
    <w:name w:val="00_Bulleted text"/>
    <w:basedOn w:val="00BodyText"/>
    <w:uiPriority w:val="99"/>
    <w:rsid w:val="009757DA"/>
    <w:pPr>
      <w:tabs>
        <w:tab w:val="left" w:pos="1020"/>
      </w:tabs>
    </w:pPr>
  </w:style>
  <w:style w:type="paragraph" w:customStyle="1" w:styleId="02Heading">
    <w:name w:val="02_Heading"/>
    <w:basedOn w:val="NoParagraphStyle"/>
    <w:uiPriority w:val="99"/>
    <w:rsid w:val="009757DA"/>
    <w:pPr>
      <w:tabs>
        <w:tab w:val="left" w:pos="992"/>
      </w:tabs>
      <w:suppressAutoHyphens/>
      <w:spacing w:before="340" w:after="113" w:line="360" w:lineRule="atLeast"/>
    </w:pPr>
    <w:rPr>
      <w:rFonts w:ascii="MBembo-Bold" w:hAnsi="MBembo-Bold" w:cs="MBembo-Bold"/>
      <w:b/>
      <w:bCs/>
      <w:sz w:val="32"/>
      <w:szCs w:val="32"/>
    </w:rPr>
  </w:style>
  <w:style w:type="paragraph" w:customStyle="1" w:styleId="03Subhead">
    <w:name w:val="03_Subhead"/>
    <w:basedOn w:val="NoParagraphStyle"/>
    <w:uiPriority w:val="99"/>
    <w:rsid w:val="009757DA"/>
    <w:pPr>
      <w:tabs>
        <w:tab w:val="left" w:pos="992"/>
      </w:tabs>
      <w:suppressAutoHyphens/>
      <w:spacing w:before="227" w:after="113" w:line="320" w:lineRule="atLeast"/>
    </w:pPr>
    <w:rPr>
      <w:rFonts w:ascii="MBembo-SemiBold" w:hAnsi="MBembo-SemiBold" w:cs="MBembo-SemiBold"/>
      <w:b/>
      <w:bCs/>
      <w:sz w:val="28"/>
      <w:szCs w:val="28"/>
    </w:rPr>
  </w:style>
  <w:style w:type="paragraph" w:customStyle="1" w:styleId="05Subsubhead">
    <w:name w:val="05_Subsubhead"/>
    <w:basedOn w:val="NoParagraphStyle"/>
    <w:uiPriority w:val="99"/>
    <w:rsid w:val="009757DA"/>
    <w:pPr>
      <w:tabs>
        <w:tab w:val="left" w:pos="992"/>
      </w:tabs>
      <w:suppressAutoHyphens/>
      <w:spacing w:before="283" w:after="113" w:line="320" w:lineRule="atLeast"/>
    </w:pPr>
    <w:rPr>
      <w:rFonts w:ascii="MBembo-SemiBoldItalic" w:hAnsi="MBembo-SemiBoldItalic" w:cs="MBembo-SemiBoldItalic"/>
      <w:b/>
      <w:bCs/>
      <w:i/>
      <w:iCs/>
      <w:sz w:val="26"/>
      <w:szCs w:val="26"/>
    </w:rPr>
  </w:style>
  <w:style w:type="paragraph" w:customStyle="1" w:styleId="00BodyItalicIndent">
    <w:name w:val="00_Body Italic Indent"/>
    <w:basedOn w:val="00BodyText"/>
    <w:uiPriority w:val="99"/>
    <w:rsid w:val="009757DA"/>
    <w:pPr>
      <w:ind w:left="1020" w:right="737"/>
    </w:pPr>
    <w:rPr>
      <w:rFonts w:ascii="MBembo-Italic" w:hAnsi="MBembo-Italic" w:cs="MBembo-Italic"/>
      <w:i/>
      <w:iCs/>
    </w:rPr>
  </w:style>
  <w:style w:type="paragraph" w:customStyle="1" w:styleId="04Caption">
    <w:name w:val="04_Caption"/>
    <w:basedOn w:val="NoParagraphStyle"/>
    <w:uiPriority w:val="99"/>
    <w:rsid w:val="009757DA"/>
    <w:pPr>
      <w:suppressAutoHyphens/>
      <w:spacing w:line="260" w:lineRule="atLeast"/>
    </w:pPr>
    <w:rPr>
      <w:rFonts w:ascii="MBembo-Italic" w:hAnsi="MBembo-Italic" w:cs="MBembo-Italic"/>
      <w:i/>
      <w:iCs/>
      <w:sz w:val="20"/>
      <w:szCs w:val="20"/>
    </w:rPr>
  </w:style>
  <w:style w:type="paragraph" w:customStyle="1" w:styleId="06TableBody">
    <w:name w:val="06_Table Body"/>
    <w:basedOn w:val="NoParagraphStyle"/>
    <w:uiPriority w:val="99"/>
    <w:rsid w:val="009757DA"/>
    <w:pPr>
      <w:suppressAutoHyphens/>
      <w:spacing w:line="280" w:lineRule="atLeast"/>
    </w:pPr>
    <w:rPr>
      <w:rFonts w:ascii="MBembo" w:hAnsi="MBembo" w:cs="MBembo"/>
      <w:sz w:val="20"/>
      <w:szCs w:val="20"/>
    </w:rPr>
  </w:style>
  <w:style w:type="character" w:customStyle="1" w:styleId="00BodyBold">
    <w:name w:val="00_Body Bold"/>
    <w:uiPriority w:val="99"/>
    <w:rsid w:val="009757DA"/>
    <w:rPr>
      <w:rFonts w:ascii="MBembo-Bold" w:hAnsi="MBembo-Bold" w:cs="MBembo-Bold"/>
      <w:b/>
      <w:bCs/>
    </w:rPr>
  </w:style>
  <w:style w:type="character" w:customStyle="1" w:styleId="04CaptionBold">
    <w:name w:val="04_Caption Bold"/>
    <w:uiPriority w:val="99"/>
    <w:rsid w:val="009757DA"/>
    <w:rPr>
      <w:rFonts w:ascii="MBembo-BoldItalic" w:hAnsi="MBembo-BoldItalic" w:cs="MBembo-BoldItalic"/>
      <w:b/>
      <w:bCs/>
      <w:i/>
      <w:iCs/>
    </w:rPr>
  </w:style>
  <w:style w:type="character" w:customStyle="1" w:styleId="00BodyItalic">
    <w:name w:val="00_Body Italic"/>
    <w:uiPriority w:val="99"/>
    <w:rsid w:val="009757DA"/>
    <w:rPr>
      <w:rFonts w:ascii="MBembo-Italic" w:hAnsi="MBembo-Italic" w:cs="MBembo-Italic"/>
      <w:i/>
      <w:iCs/>
    </w:rPr>
  </w:style>
  <w:style w:type="paragraph" w:customStyle="1" w:styleId="08COVSubhead">
    <w:name w:val="08_COV_Subhead"/>
    <w:basedOn w:val="NoParagraphStyle"/>
    <w:uiPriority w:val="99"/>
    <w:rsid w:val="009757DA"/>
    <w:pPr>
      <w:suppressAutoHyphens/>
      <w:spacing w:before="57" w:line="320" w:lineRule="atLeast"/>
    </w:pPr>
    <w:rPr>
      <w:rFonts w:ascii="Goudy" w:hAnsi="Goudy" w:cs="Goudy"/>
      <w:color w:val="FFFFFF"/>
      <w:sz w:val="33"/>
      <w:szCs w:val="33"/>
    </w:rPr>
  </w:style>
  <w:style w:type="paragraph" w:customStyle="1" w:styleId="08COVAddress">
    <w:name w:val="08_COV_Address"/>
    <w:basedOn w:val="NoParagraphStyle"/>
    <w:uiPriority w:val="99"/>
    <w:rsid w:val="009757DA"/>
    <w:pPr>
      <w:suppressAutoHyphens/>
      <w:spacing w:before="340" w:line="300" w:lineRule="atLeast"/>
    </w:pPr>
    <w:rPr>
      <w:rFonts w:ascii="Goudy-ExtraBold" w:hAnsi="Goudy-ExtraBold" w:cs="Goudy-ExtraBold"/>
      <w:b/>
      <w:bCs/>
      <w:color w:val="FFFFFF"/>
      <w:sz w:val="28"/>
      <w:szCs w:val="28"/>
    </w:rPr>
  </w:style>
  <w:style w:type="paragraph" w:customStyle="1" w:styleId="07CONSection">
    <w:name w:val="07_CON_Section"/>
    <w:basedOn w:val="NoParagraphStyle"/>
    <w:uiPriority w:val="99"/>
    <w:rsid w:val="009757DA"/>
    <w:pPr>
      <w:tabs>
        <w:tab w:val="left" w:pos="737"/>
        <w:tab w:val="right" w:leader="dot" w:pos="9581"/>
      </w:tabs>
      <w:suppressAutoHyphens/>
      <w:spacing w:before="113" w:line="360" w:lineRule="atLeast"/>
    </w:pPr>
    <w:rPr>
      <w:rFonts w:ascii="MBembo-Bold" w:hAnsi="MBembo-Bold" w:cs="MBembo-Bold"/>
      <w:b/>
      <w:bCs/>
      <w:caps/>
      <w:sz w:val="28"/>
      <w:szCs w:val="28"/>
    </w:rPr>
  </w:style>
  <w:style w:type="paragraph" w:customStyle="1" w:styleId="07CONSubSection">
    <w:name w:val="07_CON_Sub Section"/>
    <w:basedOn w:val="NoParagraphStyle"/>
    <w:uiPriority w:val="99"/>
    <w:rsid w:val="009757DA"/>
    <w:pPr>
      <w:tabs>
        <w:tab w:val="left" w:pos="737"/>
        <w:tab w:val="left" w:pos="1417"/>
        <w:tab w:val="right" w:leader="dot" w:pos="9581"/>
      </w:tabs>
      <w:suppressAutoHyphens/>
      <w:spacing w:before="14" w:line="300" w:lineRule="atLeast"/>
    </w:pPr>
    <w:rPr>
      <w:rFonts w:ascii="MBembo-SemiBold" w:hAnsi="MBembo-SemiBold" w:cs="MBembo-SemiBold"/>
      <w:b/>
      <w:bCs/>
      <w:sz w:val="22"/>
      <w:szCs w:val="22"/>
    </w:rPr>
  </w:style>
  <w:style w:type="paragraph" w:customStyle="1" w:styleId="07CONSubsubsection">
    <w:name w:val="07_CON_Subsubsection"/>
    <w:basedOn w:val="NoParagraphStyle"/>
    <w:uiPriority w:val="99"/>
    <w:rsid w:val="009757DA"/>
    <w:pPr>
      <w:tabs>
        <w:tab w:val="left" w:pos="2240"/>
        <w:tab w:val="right" w:leader="dot" w:pos="9600"/>
      </w:tabs>
      <w:suppressAutoHyphens/>
      <w:spacing w:before="28" w:line="260" w:lineRule="atLeast"/>
      <w:ind w:left="1417"/>
    </w:pPr>
    <w:rPr>
      <w:rFonts w:ascii="MBembo" w:hAnsi="MBembo" w:cs="MBembo"/>
      <w:sz w:val="22"/>
      <w:szCs w:val="22"/>
    </w:rPr>
  </w:style>
  <w:style w:type="table" w:styleId="TableGrid">
    <w:name w:val="Table Grid"/>
    <w:basedOn w:val="TableNormal"/>
    <w:uiPriority w:val="59"/>
    <w:rsid w:val="00DA34E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1576D"/>
    <w:pPr>
      <w:ind w:left="720"/>
      <w:contextualSpacing/>
    </w:pPr>
  </w:style>
  <w:style w:type="paragraph" w:customStyle="1" w:styleId="Default">
    <w:name w:val="Default"/>
    <w:rsid w:val="00B1576D"/>
    <w:pPr>
      <w:widowControl w:val="0"/>
      <w:autoSpaceDE w:val="0"/>
      <w:autoSpaceDN w:val="0"/>
      <w:adjustRightInd w:val="0"/>
      <w:spacing w:after="0"/>
    </w:pPr>
    <w:rPr>
      <w:rFonts w:ascii="Calibri" w:hAnsi="Calibri" w:cs="Calibri"/>
      <w:color w:val="000000"/>
    </w:rPr>
  </w:style>
  <w:style w:type="character" w:customStyle="1" w:styleId="Heading2Char">
    <w:name w:val="Heading 2 Char"/>
    <w:basedOn w:val="DefaultParagraphFont"/>
    <w:link w:val="Heading2"/>
    <w:rsid w:val="00733F2A"/>
    <w:rPr>
      <w:rFonts w:ascii="Arial" w:eastAsia="Times New Roman" w:hAnsi="Arial" w:cs="Times New Roman"/>
      <w:b/>
      <w:i/>
      <w:szCs w:val="20"/>
      <w:lang w:val="en-AU" w:eastAsia="en-AU"/>
    </w:rPr>
  </w:style>
  <w:style w:type="character" w:customStyle="1" w:styleId="Heading3Char">
    <w:name w:val="Heading 3 Char"/>
    <w:basedOn w:val="DefaultParagraphFont"/>
    <w:link w:val="Heading3"/>
    <w:uiPriority w:val="9"/>
    <w:semiHidden/>
    <w:rsid w:val="00733F2A"/>
    <w:rPr>
      <w:rFonts w:asciiTheme="majorHAnsi" w:eastAsiaTheme="majorEastAsia" w:hAnsiTheme="majorHAnsi" w:cstheme="majorBidi"/>
      <w:b/>
      <w:bCs/>
      <w:color w:val="4F81BD" w:themeColor="accent1"/>
      <w:sz w:val="20"/>
      <w:szCs w:val="20"/>
      <w:lang w:val="en-AU" w:eastAsia="en-AU"/>
    </w:rPr>
  </w:style>
  <w:style w:type="paragraph" w:styleId="Header">
    <w:name w:val="header"/>
    <w:basedOn w:val="Normal"/>
    <w:link w:val="HeaderChar"/>
    <w:rsid w:val="00733F2A"/>
    <w:pPr>
      <w:tabs>
        <w:tab w:val="center" w:pos="4320"/>
        <w:tab w:val="right" w:pos="8640"/>
      </w:tabs>
      <w:spacing w:after="0"/>
    </w:pPr>
    <w:rPr>
      <w:rFonts w:ascii="Times New Roman" w:eastAsia="Times New Roman" w:hAnsi="Times New Roman" w:cs="Times New Roman"/>
      <w:sz w:val="20"/>
      <w:szCs w:val="20"/>
      <w:lang w:eastAsia="en-AU"/>
    </w:rPr>
  </w:style>
  <w:style w:type="character" w:customStyle="1" w:styleId="HeaderChar">
    <w:name w:val="Header Char"/>
    <w:basedOn w:val="DefaultParagraphFont"/>
    <w:link w:val="Header"/>
    <w:rsid w:val="00733F2A"/>
    <w:rPr>
      <w:rFonts w:ascii="Times New Roman" w:eastAsia="Times New Roman" w:hAnsi="Times New Roman" w:cs="Times New Roman"/>
      <w:sz w:val="20"/>
      <w:szCs w:val="20"/>
      <w:lang w:val="en-AU" w:eastAsia="en-AU"/>
    </w:rPr>
  </w:style>
  <w:style w:type="paragraph" w:styleId="Footer">
    <w:name w:val="footer"/>
    <w:basedOn w:val="Normal"/>
    <w:link w:val="FooterChar"/>
    <w:uiPriority w:val="99"/>
    <w:rsid w:val="00733F2A"/>
    <w:pPr>
      <w:tabs>
        <w:tab w:val="center" w:pos="4320"/>
        <w:tab w:val="right" w:pos="8640"/>
      </w:tabs>
      <w:spacing w:after="0"/>
    </w:pPr>
    <w:rPr>
      <w:rFonts w:ascii="Times New Roman" w:eastAsia="Times New Roman" w:hAnsi="Times New Roman" w:cs="Times New Roman"/>
      <w:sz w:val="20"/>
      <w:szCs w:val="20"/>
      <w:lang w:eastAsia="en-AU"/>
    </w:rPr>
  </w:style>
  <w:style w:type="character" w:customStyle="1" w:styleId="FooterChar">
    <w:name w:val="Footer Char"/>
    <w:basedOn w:val="DefaultParagraphFont"/>
    <w:link w:val="Footer"/>
    <w:uiPriority w:val="99"/>
    <w:rsid w:val="00733F2A"/>
    <w:rPr>
      <w:rFonts w:ascii="Times New Roman" w:eastAsia="Times New Roman" w:hAnsi="Times New Roman" w:cs="Times New Roman"/>
      <w:sz w:val="20"/>
      <w:szCs w:val="20"/>
      <w:lang w:val="en-AU" w:eastAsia="en-AU"/>
    </w:rPr>
  </w:style>
  <w:style w:type="paragraph" w:styleId="BodyTextIndent">
    <w:name w:val="Body Text Indent"/>
    <w:basedOn w:val="Normal"/>
    <w:link w:val="BodyTextIndentChar"/>
    <w:rsid w:val="00733F2A"/>
    <w:pPr>
      <w:tabs>
        <w:tab w:val="left" w:pos="-720"/>
      </w:tabs>
      <w:suppressAutoHyphens/>
      <w:spacing w:after="0"/>
      <w:ind w:left="709" w:hanging="709"/>
    </w:pPr>
    <w:rPr>
      <w:rFonts w:ascii="Times PS" w:eastAsia="Times New Roman" w:hAnsi="Times PS" w:cs="Times New Roman"/>
      <w:spacing w:val="-3"/>
      <w:sz w:val="22"/>
      <w:szCs w:val="20"/>
      <w:lang w:eastAsia="en-AU"/>
    </w:rPr>
  </w:style>
  <w:style w:type="character" w:customStyle="1" w:styleId="BodyTextIndentChar">
    <w:name w:val="Body Text Indent Char"/>
    <w:basedOn w:val="DefaultParagraphFont"/>
    <w:link w:val="BodyTextIndent"/>
    <w:rsid w:val="00733F2A"/>
    <w:rPr>
      <w:rFonts w:ascii="Times PS" w:eastAsia="Times New Roman" w:hAnsi="Times PS" w:cs="Times New Roman"/>
      <w:spacing w:val="-3"/>
      <w:sz w:val="22"/>
      <w:szCs w:val="20"/>
      <w:lang w:val="en-AU" w:eastAsia="en-AU"/>
    </w:rPr>
  </w:style>
  <w:style w:type="paragraph" w:styleId="BalloonText">
    <w:name w:val="Balloon Text"/>
    <w:basedOn w:val="Normal"/>
    <w:link w:val="BalloonTextChar"/>
    <w:uiPriority w:val="99"/>
    <w:semiHidden/>
    <w:unhideWhenUsed/>
    <w:rsid w:val="00733F2A"/>
    <w:pPr>
      <w:spacing w:after="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733F2A"/>
    <w:rPr>
      <w:rFonts w:ascii="Tahoma" w:eastAsia="Times New Roman" w:hAnsi="Tahoma" w:cs="Tahoma"/>
      <w:sz w:val="16"/>
      <w:szCs w:val="16"/>
      <w:lang w:val="en-AU" w:eastAsia="en-AU"/>
    </w:rPr>
  </w:style>
  <w:style w:type="paragraph" w:styleId="NormalWeb">
    <w:name w:val="Normal (Web)"/>
    <w:basedOn w:val="Normal"/>
    <w:uiPriority w:val="99"/>
    <w:unhideWhenUsed/>
    <w:rsid w:val="00733F2A"/>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rsid w:val="00200BDC"/>
    <w:rPr>
      <w:color w:val="0000FF"/>
      <w:u w:val="single"/>
    </w:rPr>
  </w:style>
  <w:style w:type="character" w:styleId="PageNumber">
    <w:name w:val="page number"/>
    <w:basedOn w:val="DefaultParagraphFont"/>
    <w:uiPriority w:val="99"/>
    <w:semiHidden/>
    <w:unhideWhenUsed/>
    <w:rsid w:val="00950E17"/>
  </w:style>
  <w:style w:type="paragraph" w:styleId="BodyText">
    <w:name w:val="Body Text"/>
    <w:basedOn w:val="Normal"/>
    <w:link w:val="BodyTextChar"/>
    <w:rsid w:val="002105BB"/>
    <w:pPr>
      <w:spacing w:after="120"/>
    </w:pPr>
  </w:style>
  <w:style w:type="character" w:customStyle="1" w:styleId="BodyTextChar">
    <w:name w:val="Body Text Char"/>
    <w:basedOn w:val="DefaultParagraphFont"/>
    <w:link w:val="BodyText"/>
    <w:rsid w:val="002105BB"/>
    <w:rPr>
      <w:lang w:val="en-AU"/>
    </w:rPr>
  </w:style>
  <w:style w:type="paragraph" w:styleId="TOC1">
    <w:name w:val="toc 1"/>
    <w:basedOn w:val="Normal"/>
    <w:next w:val="Normal"/>
    <w:autoRedefine/>
    <w:rsid w:val="00BE700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26D"/>
    <w:rPr>
      <w:lang w:val="en-AU"/>
    </w:rPr>
  </w:style>
  <w:style w:type="paragraph" w:styleId="Heading2">
    <w:name w:val="heading 2"/>
    <w:basedOn w:val="Normal"/>
    <w:next w:val="Normal"/>
    <w:link w:val="Heading2Char"/>
    <w:qFormat/>
    <w:rsid w:val="00733F2A"/>
    <w:pPr>
      <w:keepNext/>
      <w:spacing w:before="240" w:after="60"/>
      <w:outlineLvl w:val="1"/>
    </w:pPr>
    <w:rPr>
      <w:rFonts w:ascii="Arial" w:eastAsia="Times New Roman" w:hAnsi="Arial" w:cs="Times New Roman"/>
      <w:b/>
      <w:i/>
      <w:szCs w:val="20"/>
      <w:lang w:eastAsia="en-AU"/>
    </w:rPr>
  </w:style>
  <w:style w:type="paragraph" w:styleId="Heading3">
    <w:name w:val="heading 3"/>
    <w:basedOn w:val="Normal"/>
    <w:next w:val="Normal"/>
    <w:link w:val="Heading3Char"/>
    <w:uiPriority w:val="9"/>
    <w:semiHidden/>
    <w:unhideWhenUsed/>
    <w:qFormat/>
    <w:rsid w:val="00733F2A"/>
    <w:pPr>
      <w:keepNext/>
      <w:keepLines/>
      <w:spacing w:before="200" w:after="0"/>
      <w:outlineLvl w:val="2"/>
    </w:pPr>
    <w:rPr>
      <w:rFonts w:asciiTheme="majorHAnsi" w:eastAsiaTheme="majorEastAsia" w:hAnsiTheme="majorHAnsi" w:cstheme="majorBidi"/>
      <w:b/>
      <w:bCs/>
      <w:color w:val="4F81BD" w:themeColor="accent1"/>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WBodyText">
    <w:name w:val="LW_Body Text"/>
    <w:basedOn w:val="Normal"/>
    <w:qFormat/>
    <w:rsid w:val="00F10EAA"/>
    <w:rPr>
      <w:rFonts w:ascii="Arial" w:hAnsi="Arial"/>
      <w:sz w:val="18"/>
    </w:rPr>
  </w:style>
  <w:style w:type="paragraph" w:customStyle="1" w:styleId="ARBABodyText">
    <w:name w:val="ARBA_Body Text"/>
    <w:basedOn w:val="Normal"/>
    <w:qFormat/>
    <w:rsid w:val="00807443"/>
    <w:pPr>
      <w:spacing w:after="0" w:line="280" w:lineRule="atLeast"/>
    </w:pPr>
    <w:rPr>
      <w:rFonts w:ascii="Arial" w:hAnsi="Arial"/>
      <w:sz w:val="18"/>
    </w:rPr>
  </w:style>
  <w:style w:type="paragraph" w:customStyle="1" w:styleId="ARBALetterSubject">
    <w:name w:val="ARBA_Letter Subject"/>
    <w:basedOn w:val="Normal"/>
    <w:qFormat/>
    <w:rsid w:val="00807443"/>
    <w:pPr>
      <w:spacing w:after="0" w:line="280" w:lineRule="atLeast"/>
    </w:pPr>
    <w:rPr>
      <w:rFonts w:ascii="Arial" w:hAnsi="Arial"/>
      <w:b/>
      <w:sz w:val="18"/>
    </w:rPr>
  </w:style>
  <w:style w:type="paragraph" w:customStyle="1" w:styleId="MainHeading">
    <w:name w:val="Main Heading"/>
    <w:qFormat/>
    <w:rsid w:val="004055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0" w:lineRule="exact"/>
      <w:contextualSpacing/>
    </w:pPr>
    <w:rPr>
      <w:rFonts w:ascii="DIN-Light" w:hAnsi="DIN-Light" w:cs="DIN-Light"/>
      <w:caps/>
      <w:noProof/>
      <w:color w:val="8C0E1D"/>
      <w:position w:val="8"/>
      <w:sz w:val="32"/>
      <w:szCs w:val="32"/>
    </w:rPr>
  </w:style>
  <w:style w:type="paragraph" w:customStyle="1" w:styleId="MWFactsheetBody">
    <w:name w:val="MW Fact sheet Body"/>
    <w:qFormat/>
    <w:rsid w:val="004055B3"/>
    <w:pPr>
      <w:suppressAutoHyphens/>
      <w:spacing w:after="0" w:line="280" w:lineRule="exact"/>
    </w:pPr>
    <w:rPr>
      <w:rFonts w:ascii="Optima-Regular" w:hAnsi="Optima-Regular" w:cs="Optima-Regular"/>
      <w:color w:val="44413C"/>
      <w:spacing w:val="8"/>
      <w:position w:val="6"/>
      <w:sz w:val="17"/>
      <w:szCs w:val="17"/>
    </w:rPr>
  </w:style>
  <w:style w:type="paragraph" w:customStyle="1" w:styleId="MWFSMainHeading">
    <w:name w:val="MW FS Main Heading"/>
    <w:next w:val="MWFactsheetBody"/>
    <w:qFormat/>
    <w:rsid w:val="004055B3"/>
    <w:pPr>
      <w:suppressAutoHyphens/>
      <w:spacing w:after="0" w:line="280" w:lineRule="exact"/>
    </w:pPr>
    <w:rPr>
      <w:rFonts w:ascii="DIN-Light" w:hAnsi="DIN-Light"/>
      <w:caps/>
      <w:color w:val="8C0E1D"/>
      <w:position w:val="8"/>
      <w:sz w:val="32"/>
      <w:lang w:val="en-AU"/>
    </w:rPr>
  </w:style>
  <w:style w:type="paragraph" w:customStyle="1" w:styleId="MWFSSubHeading">
    <w:name w:val="MW FS Sub Heading"/>
    <w:next w:val="MWFactsheetBody"/>
    <w:qFormat/>
    <w:rsid w:val="004055B3"/>
    <w:pPr>
      <w:suppressAutoHyphens/>
      <w:spacing w:after="0" w:line="280" w:lineRule="exact"/>
    </w:pPr>
    <w:rPr>
      <w:rFonts w:ascii="DIN-Bold" w:hAnsi="DIN-Bold" w:cs="Optima-Regular"/>
      <w:caps/>
      <w:color w:val="44413C"/>
      <w:position w:val="6"/>
      <w:sz w:val="20"/>
      <w:szCs w:val="17"/>
    </w:rPr>
  </w:style>
  <w:style w:type="paragraph" w:customStyle="1" w:styleId="MWFSQFText">
    <w:name w:val="MW FS QF Text"/>
    <w:qFormat/>
    <w:rsid w:val="00405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autoSpaceDE w:val="0"/>
      <w:autoSpaceDN w:val="0"/>
      <w:adjustRightInd w:val="0"/>
      <w:spacing w:after="0" w:line="280" w:lineRule="exact"/>
      <w:textAlignment w:val="center"/>
    </w:pPr>
    <w:rPr>
      <w:rFonts w:ascii="DIN-Regular" w:hAnsi="DIN-Regular" w:cs="DIN-Regular"/>
      <w:color w:val="8C0E1D"/>
      <w:sz w:val="18"/>
      <w:szCs w:val="18"/>
      <w:lang w:val="en-AU"/>
    </w:rPr>
  </w:style>
  <w:style w:type="paragraph" w:customStyle="1" w:styleId="MWFSQFMainHead">
    <w:name w:val="MW FS QF Main Head"/>
    <w:next w:val="MWFSQFText"/>
    <w:qFormat/>
    <w:rsid w:val="004055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autoSpaceDE w:val="0"/>
      <w:autoSpaceDN w:val="0"/>
      <w:adjustRightInd w:val="0"/>
      <w:spacing w:after="0" w:line="288" w:lineRule="auto"/>
      <w:textAlignment w:val="center"/>
    </w:pPr>
    <w:rPr>
      <w:rFonts w:ascii="DIN-Light" w:hAnsi="DIN-Light" w:cs="DIN-Light"/>
      <w:caps/>
      <w:color w:val="8C0E1D"/>
      <w:lang w:val="en-AU"/>
    </w:rPr>
  </w:style>
  <w:style w:type="character" w:customStyle="1" w:styleId="MWFSQuickFacts">
    <w:name w:val="MW FS Quick Facts"/>
    <w:basedOn w:val="DefaultParagraphFont"/>
    <w:rsid w:val="004055B3"/>
    <w:rPr>
      <w:rFonts w:ascii="DIN-Black" w:hAnsi="DIN-Black"/>
      <w:color w:val="8C0E1D"/>
      <w:sz w:val="24"/>
    </w:rPr>
  </w:style>
  <w:style w:type="paragraph" w:customStyle="1" w:styleId="NoParagraphStyle">
    <w:name w:val="[No Paragraph Style]"/>
    <w:rsid w:val="009757DA"/>
    <w:pPr>
      <w:widowControl w:val="0"/>
      <w:autoSpaceDE w:val="0"/>
      <w:autoSpaceDN w:val="0"/>
      <w:adjustRightInd w:val="0"/>
      <w:spacing w:after="0" w:line="288" w:lineRule="auto"/>
      <w:textAlignment w:val="center"/>
    </w:pPr>
    <w:rPr>
      <w:rFonts w:ascii="Times-Italic" w:hAnsi="Times-Italic" w:cs="Times-Italic"/>
      <w:color w:val="000000"/>
      <w:lang w:val="en-GB"/>
    </w:rPr>
  </w:style>
  <w:style w:type="paragraph" w:customStyle="1" w:styleId="01SectionHead">
    <w:name w:val="01_Section Head"/>
    <w:basedOn w:val="NoParagraphStyle"/>
    <w:uiPriority w:val="99"/>
    <w:rsid w:val="009757DA"/>
    <w:pPr>
      <w:tabs>
        <w:tab w:val="left" w:pos="992"/>
      </w:tabs>
      <w:suppressAutoHyphens/>
      <w:spacing w:before="454" w:line="400" w:lineRule="atLeast"/>
    </w:pPr>
    <w:rPr>
      <w:rFonts w:ascii="MBembo-Bold" w:hAnsi="MBembo-Bold" w:cs="MBembo-Bold"/>
      <w:b/>
      <w:bCs/>
      <w:caps/>
      <w:sz w:val="36"/>
      <w:szCs w:val="36"/>
    </w:rPr>
  </w:style>
  <w:style w:type="paragraph" w:customStyle="1" w:styleId="00BodyText">
    <w:name w:val="00_Body Text"/>
    <w:basedOn w:val="NoParagraphStyle"/>
    <w:uiPriority w:val="99"/>
    <w:rsid w:val="009757DA"/>
    <w:pPr>
      <w:suppressAutoHyphens/>
      <w:spacing w:line="300" w:lineRule="atLeast"/>
    </w:pPr>
    <w:rPr>
      <w:rFonts w:ascii="MBembo" w:hAnsi="MBembo" w:cs="MBembo"/>
      <w:sz w:val="22"/>
      <w:szCs w:val="22"/>
    </w:rPr>
  </w:style>
  <w:style w:type="paragraph" w:customStyle="1" w:styleId="00Bulletedtext">
    <w:name w:val="00_Bulleted text"/>
    <w:basedOn w:val="00BodyText"/>
    <w:uiPriority w:val="99"/>
    <w:rsid w:val="009757DA"/>
    <w:pPr>
      <w:tabs>
        <w:tab w:val="left" w:pos="1020"/>
      </w:tabs>
    </w:pPr>
  </w:style>
  <w:style w:type="paragraph" w:customStyle="1" w:styleId="02Heading">
    <w:name w:val="02_Heading"/>
    <w:basedOn w:val="NoParagraphStyle"/>
    <w:uiPriority w:val="99"/>
    <w:rsid w:val="009757DA"/>
    <w:pPr>
      <w:tabs>
        <w:tab w:val="left" w:pos="992"/>
      </w:tabs>
      <w:suppressAutoHyphens/>
      <w:spacing w:before="340" w:after="113" w:line="360" w:lineRule="atLeast"/>
    </w:pPr>
    <w:rPr>
      <w:rFonts w:ascii="MBembo-Bold" w:hAnsi="MBembo-Bold" w:cs="MBembo-Bold"/>
      <w:b/>
      <w:bCs/>
      <w:sz w:val="32"/>
      <w:szCs w:val="32"/>
    </w:rPr>
  </w:style>
  <w:style w:type="paragraph" w:customStyle="1" w:styleId="03Subhead">
    <w:name w:val="03_Subhead"/>
    <w:basedOn w:val="NoParagraphStyle"/>
    <w:uiPriority w:val="99"/>
    <w:rsid w:val="009757DA"/>
    <w:pPr>
      <w:tabs>
        <w:tab w:val="left" w:pos="992"/>
      </w:tabs>
      <w:suppressAutoHyphens/>
      <w:spacing w:before="227" w:after="113" w:line="320" w:lineRule="atLeast"/>
    </w:pPr>
    <w:rPr>
      <w:rFonts w:ascii="MBembo-SemiBold" w:hAnsi="MBembo-SemiBold" w:cs="MBembo-SemiBold"/>
      <w:b/>
      <w:bCs/>
      <w:sz w:val="28"/>
      <w:szCs w:val="28"/>
    </w:rPr>
  </w:style>
  <w:style w:type="paragraph" w:customStyle="1" w:styleId="05Subsubhead">
    <w:name w:val="05_Subsubhead"/>
    <w:basedOn w:val="NoParagraphStyle"/>
    <w:uiPriority w:val="99"/>
    <w:rsid w:val="009757DA"/>
    <w:pPr>
      <w:tabs>
        <w:tab w:val="left" w:pos="992"/>
      </w:tabs>
      <w:suppressAutoHyphens/>
      <w:spacing w:before="283" w:after="113" w:line="320" w:lineRule="atLeast"/>
    </w:pPr>
    <w:rPr>
      <w:rFonts w:ascii="MBembo-SemiBoldItalic" w:hAnsi="MBembo-SemiBoldItalic" w:cs="MBembo-SemiBoldItalic"/>
      <w:b/>
      <w:bCs/>
      <w:i/>
      <w:iCs/>
      <w:sz w:val="26"/>
      <w:szCs w:val="26"/>
    </w:rPr>
  </w:style>
  <w:style w:type="paragraph" w:customStyle="1" w:styleId="00BodyItalicIndent">
    <w:name w:val="00_Body Italic Indent"/>
    <w:basedOn w:val="00BodyText"/>
    <w:uiPriority w:val="99"/>
    <w:rsid w:val="009757DA"/>
    <w:pPr>
      <w:ind w:left="1020" w:right="737"/>
    </w:pPr>
    <w:rPr>
      <w:rFonts w:ascii="MBembo-Italic" w:hAnsi="MBembo-Italic" w:cs="MBembo-Italic"/>
      <w:i/>
      <w:iCs/>
    </w:rPr>
  </w:style>
  <w:style w:type="paragraph" w:customStyle="1" w:styleId="04Caption">
    <w:name w:val="04_Caption"/>
    <w:basedOn w:val="NoParagraphStyle"/>
    <w:uiPriority w:val="99"/>
    <w:rsid w:val="009757DA"/>
    <w:pPr>
      <w:suppressAutoHyphens/>
      <w:spacing w:line="260" w:lineRule="atLeast"/>
    </w:pPr>
    <w:rPr>
      <w:rFonts w:ascii="MBembo-Italic" w:hAnsi="MBembo-Italic" w:cs="MBembo-Italic"/>
      <w:i/>
      <w:iCs/>
      <w:sz w:val="20"/>
      <w:szCs w:val="20"/>
    </w:rPr>
  </w:style>
  <w:style w:type="paragraph" w:customStyle="1" w:styleId="06TableBody">
    <w:name w:val="06_Table Body"/>
    <w:basedOn w:val="NoParagraphStyle"/>
    <w:uiPriority w:val="99"/>
    <w:rsid w:val="009757DA"/>
    <w:pPr>
      <w:suppressAutoHyphens/>
      <w:spacing w:line="280" w:lineRule="atLeast"/>
    </w:pPr>
    <w:rPr>
      <w:rFonts w:ascii="MBembo" w:hAnsi="MBembo" w:cs="MBembo"/>
      <w:sz w:val="20"/>
      <w:szCs w:val="20"/>
    </w:rPr>
  </w:style>
  <w:style w:type="character" w:customStyle="1" w:styleId="00BodyBold">
    <w:name w:val="00_Body Bold"/>
    <w:uiPriority w:val="99"/>
    <w:rsid w:val="009757DA"/>
    <w:rPr>
      <w:rFonts w:ascii="MBembo-Bold" w:hAnsi="MBembo-Bold" w:cs="MBembo-Bold"/>
      <w:b/>
      <w:bCs/>
    </w:rPr>
  </w:style>
  <w:style w:type="character" w:customStyle="1" w:styleId="04CaptionBold">
    <w:name w:val="04_Caption Bold"/>
    <w:uiPriority w:val="99"/>
    <w:rsid w:val="009757DA"/>
    <w:rPr>
      <w:rFonts w:ascii="MBembo-BoldItalic" w:hAnsi="MBembo-BoldItalic" w:cs="MBembo-BoldItalic"/>
      <w:b/>
      <w:bCs/>
      <w:i/>
      <w:iCs/>
    </w:rPr>
  </w:style>
  <w:style w:type="character" w:customStyle="1" w:styleId="00BodyItalic">
    <w:name w:val="00_Body Italic"/>
    <w:uiPriority w:val="99"/>
    <w:rsid w:val="009757DA"/>
    <w:rPr>
      <w:rFonts w:ascii="MBembo-Italic" w:hAnsi="MBembo-Italic" w:cs="MBembo-Italic"/>
      <w:i/>
      <w:iCs/>
    </w:rPr>
  </w:style>
  <w:style w:type="paragraph" w:customStyle="1" w:styleId="08COVSubhead">
    <w:name w:val="08_COV_Subhead"/>
    <w:basedOn w:val="NoParagraphStyle"/>
    <w:uiPriority w:val="99"/>
    <w:rsid w:val="009757DA"/>
    <w:pPr>
      <w:suppressAutoHyphens/>
      <w:spacing w:before="57" w:line="320" w:lineRule="atLeast"/>
    </w:pPr>
    <w:rPr>
      <w:rFonts w:ascii="Goudy" w:hAnsi="Goudy" w:cs="Goudy"/>
      <w:color w:val="FFFFFF"/>
      <w:sz w:val="33"/>
      <w:szCs w:val="33"/>
    </w:rPr>
  </w:style>
  <w:style w:type="paragraph" w:customStyle="1" w:styleId="08COVAddress">
    <w:name w:val="08_COV_Address"/>
    <w:basedOn w:val="NoParagraphStyle"/>
    <w:uiPriority w:val="99"/>
    <w:rsid w:val="009757DA"/>
    <w:pPr>
      <w:suppressAutoHyphens/>
      <w:spacing w:before="340" w:line="300" w:lineRule="atLeast"/>
    </w:pPr>
    <w:rPr>
      <w:rFonts w:ascii="Goudy-ExtraBold" w:hAnsi="Goudy-ExtraBold" w:cs="Goudy-ExtraBold"/>
      <w:b/>
      <w:bCs/>
      <w:color w:val="FFFFFF"/>
      <w:sz w:val="28"/>
      <w:szCs w:val="28"/>
    </w:rPr>
  </w:style>
  <w:style w:type="paragraph" w:customStyle="1" w:styleId="07CONSection">
    <w:name w:val="07_CON_Section"/>
    <w:basedOn w:val="NoParagraphStyle"/>
    <w:uiPriority w:val="99"/>
    <w:rsid w:val="009757DA"/>
    <w:pPr>
      <w:tabs>
        <w:tab w:val="left" w:pos="737"/>
        <w:tab w:val="right" w:leader="dot" w:pos="9581"/>
      </w:tabs>
      <w:suppressAutoHyphens/>
      <w:spacing w:before="113" w:line="360" w:lineRule="atLeast"/>
    </w:pPr>
    <w:rPr>
      <w:rFonts w:ascii="MBembo-Bold" w:hAnsi="MBembo-Bold" w:cs="MBembo-Bold"/>
      <w:b/>
      <w:bCs/>
      <w:caps/>
      <w:sz w:val="28"/>
      <w:szCs w:val="28"/>
    </w:rPr>
  </w:style>
  <w:style w:type="paragraph" w:customStyle="1" w:styleId="07CONSubSection">
    <w:name w:val="07_CON_Sub Section"/>
    <w:basedOn w:val="NoParagraphStyle"/>
    <w:uiPriority w:val="99"/>
    <w:rsid w:val="009757DA"/>
    <w:pPr>
      <w:tabs>
        <w:tab w:val="left" w:pos="737"/>
        <w:tab w:val="left" w:pos="1417"/>
        <w:tab w:val="right" w:leader="dot" w:pos="9581"/>
      </w:tabs>
      <w:suppressAutoHyphens/>
      <w:spacing w:before="14" w:line="300" w:lineRule="atLeast"/>
    </w:pPr>
    <w:rPr>
      <w:rFonts w:ascii="MBembo-SemiBold" w:hAnsi="MBembo-SemiBold" w:cs="MBembo-SemiBold"/>
      <w:b/>
      <w:bCs/>
      <w:sz w:val="22"/>
      <w:szCs w:val="22"/>
    </w:rPr>
  </w:style>
  <w:style w:type="paragraph" w:customStyle="1" w:styleId="07CONSubsubsection">
    <w:name w:val="07_CON_Subsubsection"/>
    <w:basedOn w:val="NoParagraphStyle"/>
    <w:uiPriority w:val="99"/>
    <w:rsid w:val="009757DA"/>
    <w:pPr>
      <w:tabs>
        <w:tab w:val="left" w:pos="2240"/>
        <w:tab w:val="right" w:leader="dot" w:pos="9600"/>
      </w:tabs>
      <w:suppressAutoHyphens/>
      <w:spacing w:before="28" w:line="260" w:lineRule="atLeast"/>
      <w:ind w:left="1417"/>
    </w:pPr>
    <w:rPr>
      <w:rFonts w:ascii="MBembo" w:hAnsi="MBembo" w:cs="MBembo"/>
      <w:sz w:val="22"/>
      <w:szCs w:val="22"/>
    </w:rPr>
  </w:style>
  <w:style w:type="table" w:styleId="TableGrid">
    <w:name w:val="Table Grid"/>
    <w:basedOn w:val="TableNormal"/>
    <w:uiPriority w:val="59"/>
    <w:rsid w:val="00DA34E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1576D"/>
    <w:pPr>
      <w:ind w:left="720"/>
      <w:contextualSpacing/>
    </w:pPr>
  </w:style>
  <w:style w:type="paragraph" w:customStyle="1" w:styleId="Default">
    <w:name w:val="Default"/>
    <w:rsid w:val="00B1576D"/>
    <w:pPr>
      <w:widowControl w:val="0"/>
      <w:autoSpaceDE w:val="0"/>
      <w:autoSpaceDN w:val="0"/>
      <w:adjustRightInd w:val="0"/>
      <w:spacing w:after="0"/>
    </w:pPr>
    <w:rPr>
      <w:rFonts w:ascii="Calibri" w:hAnsi="Calibri" w:cs="Calibri"/>
      <w:color w:val="000000"/>
    </w:rPr>
  </w:style>
  <w:style w:type="character" w:customStyle="1" w:styleId="Heading2Char">
    <w:name w:val="Heading 2 Char"/>
    <w:basedOn w:val="DefaultParagraphFont"/>
    <w:link w:val="Heading2"/>
    <w:rsid w:val="00733F2A"/>
    <w:rPr>
      <w:rFonts w:ascii="Arial" w:eastAsia="Times New Roman" w:hAnsi="Arial" w:cs="Times New Roman"/>
      <w:b/>
      <w:i/>
      <w:szCs w:val="20"/>
      <w:lang w:val="en-AU" w:eastAsia="en-AU"/>
    </w:rPr>
  </w:style>
  <w:style w:type="character" w:customStyle="1" w:styleId="Heading3Char">
    <w:name w:val="Heading 3 Char"/>
    <w:basedOn w:val="DefaultParagraphFont"/>
    <w:link w:val="Heading3"/>
    <w:uiPriority w:val="9"/>
    <w:semiHidden/>
    <w:rsid w:val="00733F2A"/>
    <w:rPr>
      <w:rFonts w:asciiTheme="majorHAnsi" w:eastAsiaTheme="majorEastAsia" w:hAnsiTheme="majorHAnsi" w:cstheme="majorBidi"/>
      <w:b/>
      <w:bCs/>
      <w:color w:val="4F81BD" w:themeColor="accent1"/>
      <w:sz w:val="20"/>
      <w:szCs w:val="20"/>
      <w:lang w:val="en-AU" w:eastAsia="en-AU"/>
    </w:rPr>
  </w:style>
  <w:style w:type="paragraph" w:styleId="Header">
    <w:name w:val="header"/>
    <w:basedOn w:val="Normal"/>
    <w:link w:val="HeaderChar"/>
    <w:rsid w:val="00733F2A"/>
    <w:pPr>
      <w:tabs>
        <w:tab w:val="center" w:pos="4320"/>
        <w:tab w:val="right" w:pos="8640"/>
      </w:tabs>
      <w:spacing w:after="0"/>
    </w:pPr>
    <w:rPr>
      <w:rFonts w:ascii="Times New Roman" w:eastAsia="Times New Roman" w:hAnsi="Times New Roman" w:cs="Times New Roman"/>
      <w:sz w:val="20"/>
      <w:szCs w:val="20"/>
      <w:lang w:eastAsia="en-AU"/>
    </w:rPr>
  </w:style>
  <w:style w:type="character" w:customStyle="1" w:styleId="HeaderChar">
    <w:name w:val="Header Char"/>
    <w:basedOn w:val="DefaultParagraphFont"/>
    <w:link w:val="Header"/>
    <w:rsid w:val="00733F2A"/>
    <w:rPr>
      <w:rFonts w:ascii="Times New Roman" w:eastAsia="Times New Roman" w:hAnsi="Times New Roman" w:cs="Times New Roman"/>
      <w:sz w:val="20"/>
      <w:szCs w:val="20"/>
      <w:lang w:val="en-AU" w:eastAsia="en-AU"/>
    </w:rPr>
  </w:style>
  <w:style w:type="paragraph" w:styleId="Footer">
    <w:name w:val="footer"/>
    <w:basedOn w:val="Normal"/>
    <w:link w:val="FooterChar"/>
    <w:uiPriority w:val="99"/>
    <w:rsid w:val="00733F2A"/>
    <w:pPr>
      <w:tabs>
        <w:tab w:val="center" w:pos="4320"/>
        <w:tab w:val="right" w:pos="8640"/>
      </w:tabs>
      <w:spacing w:after="0"/>
    </w:pPr>
    <w:rPr>
      <w:rFonts w:ascii="Times New Roman" w:eastAsia="Times New Roman" w:hAnsi="Times New Roman" w:cs="Times New Roman"/>
      <w:sz w:val="20"/>
      <w:szCs w:val="20"/>
      <w:lang w:eastAsia="en-AU"/>
    </w:rPr>
  </w:style>
  <w:style w:type="character" w:customStyle="1" w:styleId="FooterChar">
    <w:name w:val="Footer Char"/>
    <w:basedOn w:val="DefaultParagraphFont"/>
    <w:link w:val="Footer"/>
    <w:uiPriority w:val="99"/>
    <w:rsid w:val="00733F2A"/>
    <w:rPr>
      <w:rFonts w:ascii="Times New Roman" w:eastAsia="Times New Roman" w:hAnsi="Times New Roman" w:cs="Times New Roman"/>
      <w:sz w:val="20"/>
      <w:szCs w:val="20"/>
      <w:lang w:val="en-AU" w:eastAsia="en-AU"/>
    </w:rPr>
  </w:style>
  <w:style w:type="paragraph" w:styleId="BodyTextIndent">
    <w:name w:val="Body Text Indent"/>
    <w:basedOn w:val="Normal"/>
    <w:link w:val="BodyTextIndentChar"/>
    <w:rsid w:val="00733F2A"/>
    <w:pPr>
      <w:tabs>
        <w:tab w:val="left" w:pos="-720"/>
      </w:tabs>
      <w:suppressAutoHyphens/>
      <w:spacing w:after="0"/>
      <w:ind w:left="709" w:hanging="709"/>
    </w:pPr>
    <w:rPr>
      <w:rFonts w:ascii="Times PS" w:eastAsia="Times New Roman" w:hAnsi="Times PS" w:cs="Times New Roman"/>
      <w:spacing w:val="-3"/>
      <w:sz w:val="22"/>
      <w:szCs w:val="20"/>
      <w:lang w:eastAsia="en-AU"/>
    </w:rPr>
  </w:style>
  <w:style w:type="character" w:customStyle="1" w:styleId="BodyTextIndentChar">
    <w:name w:val="Body Text Indent Char"/>
    <w:basedOn w:val="DefaultParagraphFont"/>
    <w:link w:val="BodyTextIndent"/>
    <w:rsid w:val="00733F2A"/>
    <w:rPr>
      <w:rFonts w:ascii="Times PS" w:eastAsia="Times New Roman" w:hAnsi="Times PS" w:cs="Times New Roman"/>
      <w:spacing w:val="-3"/>
      <w:sz w:val="22"/>
      <w:szCs w:val="20"/>
      <w:lang w:val="en-AU" w:eastAsia="en-AU"/>
    </w:rPr>
  </w:style>
  <w:style w:type="paragraph" w:styleId="BalloonText">
    <w:name w:val="Balloon Text"/>
    <w:basedOn w:val="Normal"/>
    <w:link w:val="BalloonTextChar"/>
    <w:uiPriority w:val="99"/>
    <w:semiHidden/>
    <w:unhideWhenUsed/>
    <w:rsid w:val="00733F2A"/>
    <w:pPr>
      <w:spacing w:after="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733F2A"/>
    <w:rPr>
      <w:rFonts w:ascii="Tahoma" w:eastAsia="Times New Roman" w:hAnsi="Tahoma" w:cs="Tahoma"/>
      <w:sz w:val="16"/>
      <w:szCs w:val="16"/>
      <w:lang w:val="en-AU" w:eastAsia="en-AU"/>
    </w:rPr>
  </w:style>
  <w:style w:type="paragraph" w:styleId="NormalWeb">
    <w:name w:val="Normal (Web)"/>
    <w:basedOn w:val="Normal"/>
    <w:uiPriority w:val="99"/>
    <w:unhideWhenUsed/>
    <w:rsid w:val="00733F2A"/>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rsid w:val="00200BDC"/>
    <w:rPr>
      <w:color w:val="0000FF"/>
      <w:u w:val="single"/>
    </w:rPr>
  </w:style>
  <w:style w:type="character" w:styleId="PageNumber">
    <w:name w:val="page number"/>
    <w:basedOn w:val="DefaultParagraphFont"/>
    <w:uiPriority w:val="99"/>
    <w:semiHidden/>
    <w:unhideWhenUsed/>
    <w:rsid w:val="00950E17"/>
  </w:style>
  <w:style w:type="paragraph" w:styleId="BodyText">
    <w:name w:val="Body Text"/>
    <w:basedOn w:val="Normal"/>
    <w:link w:val="BodyTextChar"/>
    <w:rsid w:val="002105BB"/>
    <w:pPr>
      <w:spacing w:after="120"/>
    </w:pPr>
  </w:style>
  <w:style w:type="character" w:customStyle="1" w:styleId="BodyTextChar">
    <w:name w:val="Body Text Char"/>
    <w:basedOn w:val="DefaultParagraphFont"/>
    <w:link w:val="BodyText"/>
    <w:rsid w:val="002105BB"/>
    <w:rPr>
      <w:lang w:val="en-AU"/>
    </w:rPr>
  </w:style>
  <w:style w:type="paragraph" w:styleId="TOC1">
    <w:name w:val="toc 1"/>
    <w:basedOn w:val="Normal"/>
    <w:next w:val="Normal"/>
    <w:autoRedefine/>
    <w:rsid w:val="00BE700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470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ti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tif"/><Relationship Id="rId10" Type="http://schemas.openxmlformats.org/officeDocument/2006/relationships/hyperlink" Target="mailto:sally@orbitplanning.com.a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sally@orbitplanning.com.au" TargetMode="Externa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6CE2A-B17F-4E82-B3D9-BEEFC2D36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11847</Words>
  <Characters>67531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Purple House Design</Company>
  <LinksUpToDate>false</LinksUpToDate>
  <CharactersWithSpaces>79220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Flannery</dc:creator>
  <cp:lastModifiedBy>Trent Wink</cp:lastModifiedBy>
  <cp:revision>2</cp:revision>
  <cp:lastPrinted>2015-10-19T00:18:00Z</cp:lastPrinted>
  <dcterms:created xsi:type="dcterms:W3CDTF">2016-02-29T05:31:00Z</dcterms:created>
  <dcterms:modified xsi:type="dcterms:W3CDTF">2016-02-29T05:31:00Z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A3205341</vt:lpwstr>
  </property>
  <property fmtid="{D5CDD505-2E9C-101B-9397-08002B2CF9AE}" pid="4" name="Objective-Title">
    <vt:lpwstr>PLANNING PROPOSAL  - Revision 4_December  2015</vt:lpwstr>
  </property>
  <property fmtid="{D5CDD505-2E9C-101B-9397-08002B2CF9AE}" pid="5" name="Objective-Comment">
    <vt:lpwstr/>
  </property>
  <property fmtid="{D5CDD505-2E9C-101B-9397-08002B2CF9AE}" pid="6" name="Objective-CreationStamp">
    <vt:filetime>2016-01-07T04:56:35Z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2016-01-07T05:02:47Z</vt:filetime>
  </property>
  <property fmtid="{D5CDD505-2E9C-101B-9397-08002B2CF9AE}" pid="11" name="Objective-Owner">
    <vt:lpwstr>Paul Maher</vt:lpwstr>
  </property>
  <property fmtid="{D5CDD505-2E9C-101B-9397-08002B2CF9AE}" pid="12" name="Objective-Path">
    <vt:lpwstr>Objective Global Folder:1. Planning &amp; Environment (DP&amp;E):1. Planning &amp; Environment File Plan (DP&amp;E):PLANNING SYSTEM OPERATIONS MANAGEMENT:PLANNING ACTIVITY - HUNTER CENTRAL COAST:Muswellbrook:Local Environmental Plans:Muswellbrook Local Environmental Plan</vt:lpwstr>
  </property>
  <property fmtid="{D5CDD505-2E9C-101B-9397-08002B2CF9AE}" pid="13" name="Objective-Parent">
    <vt:lpwstr>3 Consideration by Council - Section 58</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14/12190</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